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4388E5" w14:textId="45A7DF20" w:rsidR="00E90E49" w:rsidRPr="00AE5DF4" w:rsidRDefault="00E90E49" w:rsidP="00505494">
      <w:pPr>
        <w:pStyle w:val="3GPPHeader"/>
        <w:spacing w:after="60"/>
        <w:rPr>
          <w:sz w:val="32"/>
          <w:szCs w:val="32"/>
          <w:highlight w:val="yellow"/>
        </w:rPr>
      </w:pPr>
      <w:r w:rsidRPr="00AE5DF4">
        <w:t>3GPP TSG-RAN WG</w:t>
      </w:r>
      <w:r w:rsidR="008F1C4E" w:rsidRPr="00AE5DF4">
        <w:t>1</w:t>
      </w:r>
      <w:r w:rsidRPr="00AE5DF4">
        <w:t xml:space="preserve"> </w:t>
      </w:r>
      <w:r w:rsidR="008F1C4E" w:rsidRPr="00AE5DF4">
        <w:t xml:space="preserve">Meeting </w:t>
      </w:r>
      <w:r w:rsidRPr="00AE5DF4">
        <w:t>#</w:t>
      </w:r>
      <w:r w:rsidR="00D66AD1" w:rsidRPr="00AE5DF4">
        <w:t>10</w:t>
      </w:r>
      <w:r w:rsidR="00755956" w:rsidRPr="00AE5DF4">
        <w:t>7</w:t>
      </w:r>
      <w:r w:rsidR="00234A4B" w:rsidRPr="00AE5DF4">
        <w:t>-e</w:t>
      </w:r>
      <w:r w:rsidRPr="00AE5DF4">
        <w:tab/>
      </w:r>
      <w:r w:rsidR="00091557" w:rsidRPr="00AE5DF4">
        <w:rPr>
          <w:sz w:val="32"/>
          <w:szCs w:val="32"/>
        </w:rPr>
        <w:t>R</w:t>
      </w:r>
      <w:r w:rsidR="008F1C4E" w:rsidRPr="00AE5DF4">
        <w:rPr>
          <w:sz w:val="32"/>
          <w:szCs w:val="32"/>
        </w:rPr>
        <w:t>1</w:t>
      </w:r>
      <w:r w:rsidR="00091557" w:rsidRPr="00AE5DF4">
        <w:rPr>
          <w:sz w:val="32"/>
          <w:szCs w:val="32"/>
        </w:rPr>
        <w:t>-</w:t>
      </w:r>
      <w:r w:rsidR="008172A9" w:rsidRPr="00AE5DF4">
        <w:rPr>
          <w:sz w:val="32"/>
          <w:szCs w:val="32"/>
        </w:rPr>
        <w:t>21</w:t>
      </w:r>
      <w:r w:rsidR="00D83479" w:rsidRPr="00AE5DF4">
        <w:rPr>
          <w:sz w:val="32"/>
          <w:szCs w:val="32"/>
        </w:rPr>
        <w:t>12359</w:t>
      </w:r>
    </w:p>
    <w:p w14:paraId="0CE7B7E6" w14:textId="312E85EE" w:rsidR="00E90E49" w:rsidRPr="00AE5DF4" w:rsidRDefault="00234A4B" w:rsidP="00505494">
      <w:pPr>
        <w:pStyle w:val="3GPPHeader"/>
      </w:pPr>
      <w:r w:rsidRPr="00AE5DF4">
        <w:t>Online</w:t>
      </w:r>
      <w:r w:rsidR="0027144F" w:rsidRPr="00AE5DF4">
        <w:t xml:space="preserve">, </w:t>
      </w:r>
      <w:r w:rsidR="00215935" w:rsidRPr="00AE5DF4">
        <w:t>November</w:t>
      </w:r>
      <w:r w:rsidR="0027144F" w:rsidRPr="00AE5DF4">
        <w:t xml:space="preserve"> </w:t>
      </w:r>
      <w:r w:rsidRPr="00AE5DF4">
        <w:t>11</w:t>
      </w:r>
      <w:r w:rsidR="001D53E7" w:rsidRPr="00AE5DF4">
        <w:rPr>
          <w:vertAlign w:val="superscript"/>
        </w:rPr>
        <w:t>th</w:t>
      </w:r>
      <w:r w:rsidRPr="00AE5DF4">
        <w:t xml:space="preserve"> </w:t>
      </w:r>
      <w:r w:rsidR="001D53E7" w:rsidRPr="00AE5DF4">
        <w:t xml:space="preserve">– </w:t>
      </w:r>
      <w:r w:rsidRPr="00AE5DF4">
        <w:t>19</w:t>
      </w:r>
      <w:r w:rsidRPr="00AE5DF4">
        <w:rPr>
          <w:vertAlign w:val="superscript"/>
        </w:rPr>
        <w:t>th</w:t>
      </w:r>
      <w:r w:rsidRPr="00AE5DF4">
        <w:t xml:space="preserve"> 2021</w:t>
      </w:r>
    </w:p>
    <w:p w14:paraId="3086AC07" w14:textId="77777777" w:rsidR="00E90E49" w:rsidRPr="00AE5DF4" w:rsidRDefault="00E90E49" w:rsidP="00505494">
      <w:pPr>
        <w:pStyle w:val="3GPPHeader"/>
      </w:pPr>
    </w:p>
    <w:p w14:paraId="3982483C" w14:textId="3515EAE1" w:rsidR="00E90E49" w:rsidRPr="00AE5DF4" w:rsidRDefault="00E90E49" w:rsidP="00505494">
      <w:pPr>
        <w:pStyle w:val="3GPPHeader"/>
        <w:rPr>
          <w:sz w:val="22"/>
        </w:rPr>
      </w:pPr>
      <w:r w:rsidRPr="00AE5DF4">
        <w:rPr>
          <w:sz w:val="22"/>
        </w:rPr>
        <w:t>Agenda Item:</w:t>
      </w:r>
      <w:r w:rsidRPr="00AE5DF4">
        <w:rPr>
          <w:sz w:val="22"/>
        </w:rPr>
        <w:tab/>
      </w:r>
      <w:r w:rsidR="00234A4B" w:rsidRPr="00AE5DF4">
        <w:rPr>
          <w:sz w:val="22"/>
        </w:rPr>
        <w:t>8.1</w:t>
      </w:r>
      <w:r w:rsidR="00492EAE" w:rsidRPr="00AE5DF4">
        <w:rPr>
          <w:sz w:val="22"/>
        </w:rPr>
        <w:t>6</w:t>
      </w:r>
      <w:r w:rsidR="00755956" w:rsidRPr="00AE5DF4">
        <w:rPr>
          <w:sz w:val="22"/>
        </w:rPr>
        <w:t>.10</w:t>
      </w:r>
    </w:p>
    <w:p w14:paraId="5619E868" w14:textId="77777777" w:rsidR="00E90E49" w:rsidRPr="00AE5DF4" w:rsidRDefault="003D3C45" w:rsidP="00505494">
      <w:pPr>
        <w:pStyle w:val="3GPPHeader"/>
        <w:rPr>
          <w:sz w:val="22"/>
        </w:rPr>
      </w:pPr>
      <w:r w:rsidRPr="00AE5DF4">
        <w:rPr>
          <w:sz w:val="22"/>
        </w:rPr>
        <w:t>Source:</w:t>
      </w:r>
      <w:r w:rsidR="00E90E49" w:rsidRPr="00AE5DF4">
        <w:rPr>
          <w:sz w:val="22"/>
        </w:rPr>
        <w:tab/>
      </w:r>
      <w:r w:rsidR="00F64C2B" w:rsidRPr="00AE5DF4">
        <w:rPr>
          <w:sz w:val="22"/>
        </w:rPr>
        <w:t>Ericsson</w:t>
      </w:r>
    </w:p>
    <w:p w14:paraId="3AF5C9FA" w14:textId="117717EB" w:rsidR="00E90E49" w:rsidRPr="00AE5DF4" w:rsidRDefault="003D3C45" w:rsidP="00505494">
      <w:pPr>
        <w:pStyle w:val="3GPPHeader"/>
        <w:rPr>
          <w:sz w:val="22"/>
        </w:rPr>
      </w:pPr>
      <w:r w:rsidRPr="00AE5DF4">
        <w:rPr>
          <w:sz w:val="22"/>
        </w:rPr>
        <w:t>Title:</w:t>
      </w:r>
      <w:r w:rsidR="00E90E49" w:rsidRPr="00AE5DF4">
        <w:rPr>
          <w:sz w:val="22"/>
        </w:rPr>
        <w:tab/>
      </w:r>
      <w:r w:rsidR="00F13270" w:rsidRPr="00AE5DF4">
        <w:rPr>
          <w:sz w:val="22"/>
        </w:rPr>
        <w:t>UE features for enhanced IAB</w:t>
      </w:r>
    </w:p>
    <w:p w14:paraId="025260C1" w14:textId="77777777" w:rsidR="00E90E49" w:rsidRPr="00AE5DF4" w:rsidRDefault="00E90E49" w:rsidP="00505494">
      <w:pPr>
        <w:pStyle w:val="3GPPHeader"/>
        <w:rPr>
          <w:sz w:val="22"/>
        </w:rPr>
      </w:pPr>
      <w:r w:rsidRPr="00AE5DF4">
        <w:rPr>
          <w:sz w:val="22"/>
        </w:rPr>
        <w:t>Document for:</w:t>
      </w:r>
      <w:r w:rsidRPr="00AE5DF4">
        <w:rPr>
          <w:sz w:val="22"/>
        </w:rPr>
        <w:tab/>
        <w:t>Discussion, Decision</w:t>
      </w:r>
    </w:p>
    <w:p w14:paraId="2D5672ED" w14:textId="77777777" w:rsidR="00E90E49" w:rsidRPr="00AE5DF4" w:rsidRDefault="00E90E49" w:rsidP="00505494">
      <w:pPr>
        <w:jc w:val="both"/>
      </w:pPr>
    </w:p>
    <w:p w14:paraId="6883CB62" w14:textId="6D5A3D3C" w:rsidR="00E90E49" w:rsidRPr="00AE5DF4" w:rsidRDefault="00E90E49" w:rsidP="00505494">
      <w:pPr>
        <w:pStyle w:val="Heading1"/>
        <w:jc w:val="both"/>
        <w:rPr>
          <w:lang w:val="en-US"/>
        </w:rPr>
      </w:pPr>
      <w:r w:rsidRPr="00AE5DF4">
        <w:rPr>
          <w:lang w:val="en-US"/>
        </w:rPr>
        <w:t>Introduction</w:t>
      </w:r>
    </w:p>
    <w:p w14:paraId="231E64EA" w14:textId="6E5EF5A7" w:rsidR="00477768" w:rsidRPr="00AE5DF4" w:rsidRDefault="00A971F5" w:rsidP="00505494">
      <w:pPr>
        <w:jc w:val="both"/>
        <w:rPr>
          <w:lang w:eastAsia="ja-JP"/>
        </w:rPr>
      </w:pPr>
      <w:r w:rsidRPr="00AE5DF4">
        <w:rPr>
          <w:lang w:eastAsia="ja-JP"/>
        </w:rPr>
        <w:t>This contribution addresses the</w:t>
      </w:r>
      <w:r w:rsidR="00CF537A" w:rsidRPr="00AE5DF4">
        <w:rPr>
          <w:lang w:eastAsia="ja-JP"/>
        </w:rPr>
        <w:t xml:space="preserve"> reporting of</w:t>
      </w:r>
      <w:r w:rsidRPr="00AE5DF4">
        <w:rPr>
          <w:lang w:eastAsia="ja-JP"/>
        </w:rPr>
        <w:t xml:space="preserve"> multiplexing capability and multiplexing conditions to support simultaneous operation in enhanced IAB.</w:t>
      </w:r>
    </w:p>
    <w:p w14:paraId="54A44E31" w14:textId="7FA9CA00" w:rsidR="00EC68E7" w:rsidRPr="00AE5DF4" w:rsidRDefault="004000E8" w:rsidP="00505494">
      <w:pPr>
        <w:pStyle w:val="Heading1"/>
        <w:jc w:val="both"/>
        <w:rPr>
          <w:lang w:val="en-US"/>
        </w:rPr>
      </w:pPr>
      <w:bookmarkStart w:id="0" w:name="_Ref178064866"/>
      <w:r w:rsidRPr="00AE5DF4">
        <w:rPr>
          <w:lang w:val="en-US"/>
        </w:rPr>
        <w:t>Discussion</w:t>
      </w:r>
      <w:bookmarkEnd w:id="0"/>
    </w:p>
    <w:p w14:paraId="6E4A69C3" w14:textId="220E5A22" w:rsidR="00646E7A" w:rsidRPr="00AE5DF4" w:rsidRDefault="00646E7A" w:rsidP="00505494">
      <w:pPr>
        <w:jc w:val="both"/>
        <w:rPr>
          <w:lang w:eastAsia="ja-JP"/>
        </w:rPr>
      </w:pPr>
      <w:r w:rsidRPr="00AE5DF4">
        <w:rPr>
          <w:lang w:eastAsia="ja-JP"/>
        </w:rPr>
        <w:t>In the RAN1#106bis meeting, there was a discussion on multiplexing operation adaptation and the feature leader has the following proposal</w:t>
      </w:r>
      <w:r w:rsidR="00CF537A" w:rsidRPr="00AE5DF4">
        <w:rPr>
          <w:lang w:eastAsia="ja-JP"/>
        </w:rPr>
        <w:t xml:space="preserve"> </w:t>
      </w:r>
      <w:r w:rsidR="00CF537A" w:rsidRPr="00AE5DF4">
        <w:rPr>
          <w:lang w:eastAsia="ja-JP"/>
        </w:rPr>
        <w:fldChar w:fldCharType="begin"/>
      </w:r>
      <w:r w:rsidR="00CF537A" w:rsidRPr="00AE5DF4">
        <w:rPr>
          <w:lang w:eastAsia="ja-JP"/>
        </w:rPr>
        <w:instrText xml:space="preserve"> REF _Ref85826876 \r \h </w:instrText>
      </w:r>
      <w:r w:rsidR="00505494" w:rsidRPr="00AE5DF4">
        <w:rPr>
          <w:lang w:eastAsia="ja-JP"/>
        </w:rPr>
        <w:instrText xml:space="preserve"> \* MERGEFORMAT </w:instrText>
      </w:r>
      <w:r w:rsidR="00CF537A" w:rsidRPr="00AE5DF4">
        <w:rPr>
          <w:lang w:eastAsia="ja-JP"/>
        </w:rPr>
      </w:r>
      <w:r w:rsidR="00CF537A" w:rsidRPr="00AE5DF4">
        <w:rPr>
          <w:lang w:eastAsia="ja-JP"/>
        </w:rPr>
        <w:fldChar w:fldCharType="separate"/>
      </w:r>
      <w:r w:rsidR="005419EA">
        <w:rPr>
          <w:lang w:eastAsia="ja-JP"/>
        </w:rPr>
        <w:t>[1]</w:t>
      </w:r>
      <w:r w:rsidR="00CF537A" w:rsidRPr="00AE5DF4">
        <w:rPr>
          <w:lang w:eastAsia="ja-JP"/>
        </w:rPr>
        <w:fldChar w:fldCharType="end"/>
      </w:r>
      <w:r w:rsidRPr="00AE5DF4">
        <w:rPr>
          <w:lang w:eastAsia="ja-JP"/>
        </w:rPr>
        <w:t>:</w:t>
      </w:r>
    </w:p>
    <w:p w14:paraId="3CF0F6F4" w14:textId="77777777" w:rsidR="00646E7A" w:rsidRPr="00AE5DF4" w:rsidRDefault="00646E7A" w:rsidP="00795A9A">
      <w:pPr>
        <w:ind w:left="360"/>
        <w:jc w:val="both"/>
        <w:rPr>
          <w:rFonts w:cs="Arial"/>
          <w:b/>
          <w:bCs/>
          <w:color w:val="000000"/>
          <w:szCs w:val="20"/>
        </w:rPr>
      </w:pPr>
      <w:r w:rsidRPr="00AE5DF4">
        <w:rPr>
          <w:rFonts w:cs="Arial"/>
          <w:b/>
          <w:szCs w:val="20"/>
        </w:rPr>
        <w:t>Proposal 2.3.1a: In Rel-17, the semi-static indication of the multiplexing capability of an IAB node for the case of no-TDM between IAB MT and IAB DU is additionally provided with respect to each transmission-direction combination (per MT CC/DU cell pair):</w:t>
      </w:r>
    </w:p>
    <w:p w14:paraId="033EC8A2" w14:textId="77777777" w:rsidR="00646E7A" w:rsidRPr="00AE5DF4" w:rsidRDefault="00646E7A" w:rsidP="00505494">
      <w:pPr>
        <w:pStyle w:val="ListParagraph"/>
        <w:numPr>
          <w:ilvl w:val="0"/>
          <w:numId w:val="34"/>
        </w:numPr>
        <w:spacing w:before="60" w:after="120" w:line="240" w:lineRule="auto"/>
        <w:contextualSpacing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AE5DF4">
        <w:rPr>
          <w:rFonts w:ascii="Arial" w:hAnsi="Arial" w:cs="Arial"/>
          <w:b/>
          <w:sz w:val="20"/>
          <w:szCs w:val="20"/>
          <w:lang w:val="en-US"/>
        </w:rPr>
        <w:t>Support for FDM (FFS: desired guard band)</w:t>
      </w:r>
    </w:p>
    <w:p w14:paraId="1AA3A819" w14:textId="77777777" w:rsidR="00646E7A" w:rsidRPr="00AE5DF4" w:rsidRDefault="00646E7A" w:rsidP="00505494">
      <w:pPr>
        <w:pStyle w:val="ListParagraph"/>
        <w:numPr>
          <w:ilvl w:val="0"/>
          <w:numId w:val="34"/>
        </w:numPr>
        <w:spacing w:before="60" w:after="120" w:line="240" w:lineRule="auto"/>
        <w:contextualSpacing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AE5DF4">
        <w:rPr>
          <w:rFonts w:ascii="Arial" w:hAnsi="Arial" w:cs="Arial"/>
          <w:b/>
          <w:sz w:val="20"/>
          <w:szCs w:val="20"/>
          <w:lang w:val="en-US"/>
        </w:rPr>
        <w:t>Support for SDM (</w:t>
      </w:r>
      <w:proofErr w:type="gramStart"/>
      <w:r w:rsidRPr="00AE5DF4">
        <w:rPr>
          <w:rFonts w:ascii="Arial" w:hAnsi="Arial" w:cs="Arial"/>
          <w:b/>
          <w:sz w:val="20"/>
          <w:szCs w:val="20"/>
          <w:lang w:val="en-US"/>
        </w:rPr>
        <w:t>i.e.</w:t>
      </w:r>
      <w:proofErr w:type="gramEnd"/>
      <w:r w:rsidRPr="00AE5DF4">
        <w:rPr>
          <w:rFonts w:ascii="Arial" w:hAnsi="Arial" w:cs="Arial"/>
          <w:b/>
          <w:sz w:val="20"/>
          <w:szCs w:val="20"/>
          <w:lang w:val="en-US"/>
        </w:rPr>
        <w:t xml:space="preserve"> parent beam restrictions and/or child beam recommendations)</w:t>
      </w:r>
    </w:p>
    <w:p w14:paraId="1374983C" w14:textId="77777777" w:rsidR="00646E7A" w:rsidRPr="00AE5DF4" w:rsidRDefault="00646E7A" w:rsidP="00505494">
      <w:pPr>
        <w:pStyle w:val="ListParagraph"/>
        <w:numPr>
          <w:ilvl w:val="0"/>
          <w:numId w:val="34"/>
        </w:numPr>
        <w:spacing w:before="60" w:after="120" w:line="240" w:lineRule="auto"/>
        <w:contextualSpacing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AE5DF4">
        <w:rPr>
          <w:rFonts w:ascii="Arial" w:hAnsi="Arial" w:cs="Arial"/>
          <w:b/>
          <w:sz w:val="20"/>
          <w:szCs w:val="20"/>
          <w:lang w:val="en-US"/>
        </w:rPr>
        <w:t>Supported timing modes</w:t>
      </w:r>
    </w:p>
    <w:p w14:paraId="7B00F568" w14:textId="77777777" w:rsidR="00646E7A" w:rsidRPr="00AE5DF4" w:rsidRDefault="00646E7A" w:rsidP="00505494">
      <w:pPr>
        <w:pStyle w:val="ListParagraph"/>
        <w:numPr>
          <w:ilvl w:val="0"/>
          <w:numId w:val="34"/>
        </w:numPr>
        <w:spacing w:before="60" w:after="120" w:line="240" w:lineRule="auto"/>
        <w:contextualSpacing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AE5DF4">
        <w:rPr>
          <w:rFonts w:ascii="Arial" w:hAnsi="Arial" w:cs="Arial"/>
          <w:b/>
          <w:sz w:val="20"/>
          <w:szCs w:val="20"/>
          <w:lang w:val="en-US"/>
        </w:rPr>
        <w:t>Support for DL Tx power adjustment</w:t>
      </w:r>
    </w:p>
    <w:p w14:paraId="7D9C9ADF" w14:textId="45ABBC6F" w:rsidR="00CC7BE5" w:rsidRPr="00AE5DF4" w:rsidRDefault="00646E7A" w:rsidP="00505494">
      <w:pPr>
        <w:jc w:val="both"/>
        <w:rPr>
          <w:lang w:eastAsia="ja-JP"/>
        </w:rPr>
      </w:pPr>
      <w:r w:rsidRPr="00AE5DF4">
        <w:rPr>
          <w:lang w:eastAsia="ja-JP"/>
        </w:rPr>
        <w:t>The feature leader conclusion is given as below:</w:t>
      </w:r>
    </w:p>
    <w:p w14:paraId="4122DD51" w14:textId="64A812E3" w:rsidR="00646E7A" w:rsidRPr="00AE5DF4" w:rsidRDefault="00646E7A" w:rsidP="00505494">
      <w:pPr>
        <w:ind w:left="567"/>
        <w:jc w:val="both"/>
        <w:rPr>
          <w:rFonts w:eastAsiaTheme="minorEastAsia"/>
          <w:b/>
          <w:bCs/>
          <w:highlight w:val="cyan"/>
          <w:lang w:eastAsia="zh-CN"/>
        </w:rPr>
      </w:pPr>
      <w:r w:rsidRPr="00AE5DF4">
        <w:rPr>
          <w:rFonts w:eastAsiaTheme="minorEastAsia"/>
          <w:b/>
          <w:bCs/>
          <w:highlight w:val="cyan"/>
          <w:lang w:eastAsia="zh-CN"/>
        </w:rPr>
        <w:t>Given the discussion, it seems the issue of supported multiplexing capabilities can be handled directly in 8.17.10 (IAB “UE” Features)</w:t>
      </w:r>
    </w:p>
    <w:p w14:paraId="030102C4" w14:textId="11CC508F" w:rsidR="00170A73" w:rsidRPr="00AE5DF4" w:rsidRDefault="0049517F" w:rsidP="00505494">
      <w:pPr>
        <w:jc w:val="both"/>
      </w:pPr>
      <w:r w:rsidRPr="00AE5DF4">
        <w:t xml:space="preserve">Even though the companies </w:t>
      </w:r>
      <w:r w:rsidR="00FE5A61" w:rsidRPr="00AE5DF4">
        <w:t xml:space="preserve">are supportive </w:t>
      </w:r>
      <w:r w:rsidRPr="00AE5DF4">
        <w:t xml:space="preserve">to the intent of the proposal, but most companies (7 of 13) have indicated </w:t>
      </w:r>
      <w:r w:rsidR="00FE5A61" w:rsidRPr="00AE5DF4">
        <w:t>a need of further</w:t>
      </w:r>
      <w:r w:rsidRPr="00AE5DF4">
        <w:t xml:space="preserve"> </w:t>
      </w:r>
      <w:r w:rsidR="00FE5A61" w:rsidRPr="00AE5DF4">
        <w:t xml:space="preserve">clarification and </w:t>
      </w:r>
      <w:r w:rsidRPr="00AE5DF4">
        <w:t>discussio</w:t>
      </w:r>
      <w:r w:rsidR="00FE5A61" w:rsidRPr="00AE5DF4">
        <w:t>n</w:t>
      </w:r>
      <w:r w:rsidRPr="00AE5DF4">
        <w:t xml:space="preserve"> of Proposal 2.3.1a</w:t>
      </w:r>
      <w:r w:rsidR="00FE5A61" w:rsidRPr="00AE5DF4">
        <w:t>.</w:t>
      </w:r>
      <w:r w:rsidRPr="00AE5DF4">
        <w:t xml:space="preserve"> </w:t>
      </w:r>
      <w:r w:rsidR="009B6DE6" w:rsidRPr="00AE5DF4">
        <w:t xml:space="preserve">It should be noted that in Rel-16 IAB, the semi-static multiplexing capability reporting is not considered as a UE feature since this capability is reported by the IAB-DU to the donor IAB-node via F1 signaling.  </w:t>
      </w:r>
      <w:r w:rsidR="00FE5A61" w:rsidRPr="00AE5DF4">
        <w:t xml:space="preserve">We </w:t>
      </w:r>
      <w:r w:rsidR="009B6DE6" w:rsidRPr="00AE5DF4">
        <w:t xml:space="preserve">partly </w:t>
      </w:r>
      <w:r w:rsidR="00FE5A61" w:rsidRPr="00AE5DF4">
        <w:t>agree to</w:t>
      </w:r>
      <w:r w:rsidR="009B6DE6" w:rsidRPr="00AE5DF4">
        <w:t xml:space="preserve"> the feature leader</w:t>
      </w:r>
      <w:r w:rsidR="00FE5A61" w:rsidRPr="00AE5DF4">
        <w:t xml:space="preserve"> that the Rel-16 semi-static indication of multiplexing capability should be enhanced</w:t>
      </w:r>
      <w:r w:rsidR="00FE48D0" w:rsidRPr="00AE5DF4">
        <w:t>. S</w:t>
      </w:r>
      <w:r w:rsidR="00170A73" w:rsidRPr="00AE5DF4">
        <w:t>pecifically, an IAB-node should report its FDM capability to the donor-CU</w:t>
      </w:r>
      <w:r w:rsidR="00FE48D0" w:rsidRPr="00AE5DF4">
        <w:t>, accordingly the donor-CU may provide the IAB-DU with the semi-static frequency domain resource configuration</w:t>
      </w:r>
      <w:r w:rsidR="00170A73" w:rsidRPr="00AE5DF4">
        <w:t>.</w:t>
      </w:r>
      <w:r w:rsidR="00FE5A61" w:rsidRPr="00AE5DF4">
        <w:t xml:space="preserve"> </w:t>
      </w:r>
      <w:r w:rsidR="00170A73" w:rsidRPr="00AE5DF4">
        <w:t xml:space="preserve">One </w:t>
      </w:r>
      <w:r w:rsidR="00FE48D0" w:rsidRPr="00AE5DF4">
        <w:t>example</w:t>
      </w:r>
      <w:r w:rsidR="00170A73" w:rsidRPr="00AE5DF4">
        <w:t xml:space="preserve"> is to </w:t>
      </w:r>
      <w:r w:rsidR="00FE48D0" w:rsidRPr="00AE5DF4">
        <w:t xml:space="preserve">simply </w:t>
      </w:r>
      <w:r w:rsidR="00170A73" w:rsidRPr="00AE5DF4">
        <w:t xml:space="preserve">add one more </w:t>
      </w:r>
      <w:r w:rsidR="00CF537A" w:rsidRPr="00AE5DF4">
        <w:t xml:space="preserve">value “supported-FDM required” to the two cases DU_RX/MT_RX and DU_TX/MT_TX in </w:t>
      </w:r>
      <w:r w:rsidR="00FE48D0" w:rsidRPr="00AE5DF4">
        <w:t xml:space="preserve">the current </w:t>
      </w:r>
      <w:r w:rsidR="00CF537A" w:rsidRPr="00AE5DF4">
        <w:t xml:space="preserve">Multiplexing Info IE </w:t>
      </w:r>
      <w:r w:rsidR="00FE48D0" w:rsidRPr="00AE5DF4">
        <w:fldChar w:fldCharType="begin"/>
      </w:r>
      <w:r w:rsidR="00FE48D0" w:rsidRPr="00AE5DF4">
        <w:instrText xml:space="preserve"> REF _Ref74586963 \r \h </w:instrText>
      </w:r>
      <w:r w:rsidR="00505494" w:rsidRPr="00AE5DF4">
        <w:instrText xml:space="preserve"> \* MERGEFORMAT </w:instrText>
      </w:r>
      <w:r w:rsidR="00FE48D0" w:rsidRPr="00AE5DF4">
        <w:fldChar w:fldCharType="separate"/>
      </w:r>
      <w:r w:rsidR="005419EA">
        <w:t>[2]</w:t>
      </w:r>
      <w:r w:rsidR="00FE48D0" w:rsidRPr="00AE5DF4">
        <w:fldChar w:fldCharType="end"/>
      </w:r>
      <w:r w:rsidR="00CF537A" w:rsidRPr="00AE5DF4">
        <w:t>.</w:t>
      </w:r>
    </w:p>
    <w:p w14:paraId="3F4F4370" w14:textId="77777777" w:rsidR="003964E5" w:rsidRPr="00AE5DF4" w:rsidRDefault="003964E5" w:rsidP="00505494">
      <w:pPr>
        <w:pStyle w:val="Proposal"/>
        <w:spacing w:before="240" w:after="160"/>
        <w:ind w:left="1304" w:hanging="1304"/>
        <w:rPr>
          <w:lang w:eastAsia="ja-JP"/>
        </w:rPr>
      </w:pPr>
      <w:bookmarkStart w:id="1" w:name="_Toc87043444"/>
      <w:r w:rsidRPr="00AE5DF4">
        <w:rPr>
          <w:lang w:eastAsia="ja-JP"/>
        </w:rPr>
        <w:t>Extend the semi-static IAB node multiplexing capability to include FDM-required for multiplexing modes MT RX/DU RX and MT TX/DU TX. Adapt the following change to TS 38.473.</w:t>
      </w:r>
      <w:bookmarkEnd w:id="1"/>
    </w:p>
    <w:p w14:paraId="4FED060F" w14:textId="299925C9" w:rsidR="00170A73" w:rsidRPr="00AE5DF4" w:rsidRDefault="00170A73" w:rsidP="00505494">
      <w:pPr>
        <w:jc w:val="both"/>
      </w:pPr>
    </w:p>
    <w:p w14:paraId="2DCD1E3E" w14:textId="77777777" w:rsidR="00170A73" w:rsidRPr="00AE5DF4" w:rsidRDefault="00170A73" w:rsidP="00505494">
      <w:pPr>
        <w:jc w:val="both"/>
        <w:rPr>
          <w:rFonts w:ascii="Times New Roman" w:hAnsi="Times New Roman" w:cs="Times New Roman"/>
          <w:b/>
          <w:bCs/>
        </w:rPr>
      </w:pPr>
      <w:r w:rsidRPr="00AE5DF4">
        <w:rPr>
          <w:b/>
          <w:bCs/>
        </w:rPr>
        <w:t>-------------------- Proposed modification of TS 38.473 ----------------------------</w:t>
      </w:r>
    </w:p>
    <w:p w14:paraId="310E09EA" w14:textId="77777777" w:rsidR="00170A73" w:rsidRPr="00AE5DF4" w:rsidRDefault="00170A73" w:rsidP="00B06EDD">
      <w:pPr>
        <w:pStyle w:val="Heading4"/>
        <w:numPr>
          <w:ilvl w:val="0"/>
          <w:numId w:val="0"/>
        </w:numPr>
        <w:ind w:left="864" w:hanging="864"/>
        <w:jc w:val="both"/>
        <w:rPr>
          <w:lang w:val="en-US"/>
        </w:rPr>
      </w:pPr>
      <w:bookmarkStart w:id="2" w:name="_Toc45832516"/>
      <w:bookmarkStart w:id="3" w:name="_Toc51763796"/>
      <w:bookmarkStart w:id="4" w:name="_Toc52132135"/>
      <w:r w:rsidRPr="00AE5DF4">
        <w:rPr>
          <w:lang w:val="en-US"/>
        </w:rPr>
        <w:lastRenderedPageBreak/>
        <w:t>9.3.1.108</w:t>
      </w:r>
      <w:r w:rsidRPr="00AE5DF4">
        <w:rPr>
          <w:lang w:val="en-US"/>
        </w:rPr>
        <w:tab/>
        <w:t>Multiplexing Info</w:t>
      </w:r>
      <w:bookmarkEnd w:id="2"/>
      <w:bookmarkEnd w:id="3"/>
      <w:bookmarkEnd w:id="4"/>
    </w:p>
    <w:p w14:paraId="029F243D" w14:textId="77777777" w:rsidR="00170A73" w:rsidRPr="00AE5DF4" w:rsidRDefault="00170A73" w:rsidP="00505494">
      <w:pPr>
        <w:jc w:val="both"/>
      </w:pPr>
      <w:r w:rsidRPr="00AE5DF4">
        <w:t xml:space="preserve">This IE contains </w:t>
      </w:r>
      <w:r w:rsidRPr="00AE5DF4">
        <w:rPr>
          <w:lang w:eastAsia="ja-JP"/>
        </w:rPr>
        <w:t>information about the multiplexing capabilities between the gNB-DU’s cell and the cells configured on the collocated IAB-MT.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170A73" w:rsidRPr="00AE5DF4" w14:paraId="7AEFDABE" w14:textId="77777777" w:rsidTr="00F61186">
        <w:trPr>
          <w:jc w:val="center"/>
        </w:trPr>
        <w:tc>
          <w:tcPr>
            <w:tcW w:w="2448" w:type="dxa"/>
          </w:tcPr>
          <w:p w14:paraId="2E3DDD8D" w14:textId="77777777" w:rsidR="00170A73" w:rsidRPr="00AE5DF4" w:rsidRDefault="00170A73" w:rsidP="00505494">
            <w:pPr>
              <w:pStyle w:val="TAH"/>
              <w:jc w:val="both"/>
              <w:rPr>
                <w:lang w:val="en-US" w:eastAsia="ja-JP"/>
              </w:rPr>
            </w:pPr>
            <w:r w:rsidRPr="00AE5DF4">
              <w:rPr>
                <w:lang w:val="en-US" w:eastAsia="ja-JP"/>
              </w:rPr>
              <w:t>IE/Group Name</w:t>
            </w:r>
          </w:p>
        </w:tc>
        <w:tc>
          <w:tcPr>
            <w:tcW w:w="1080" w:type="dxa"/>
          </w:tcPr>
          <w:p w14:paraId="16693635" w14:textId="77777777" w:rsidR="00170A73" w:rsidRPr="00AE5DF4" w:rsidRDefault="00170A73" w:rsidP="00505494">
            <w:pPr>
              <w:pStyle w:val="TAH"/>
              <w:jc w:val="both"/>
              <w:rPr>
                <w:lang w:val="en-US" w:eastAsia="ja-JP"/>
              </w:rPr>
            </w:pPr>
            <w:r w:rsidRPr="00AE5DF4">
              <w:rPr>
                <w:lang w:val="en-US" w:eastAsia="ja-JP"/>
              </w:rPr>
              <w:t>Presence</w:t>
            </w:r>
          </w:p>
        </w:tc>
        <w:tc>
          <w:tcPr>
            <w:tcW w:w="1440" w:type="dxa"/>
          </w:tcPr>
          <w:p w14:paraId="5D513A69" w14:textId="77777777" w:rsidR="00170A73" w:rsidRPr="00AE5DF4" w:rsidRDefault="00170A73" w:rsidP="00505494">
            <w:pPr>
              <w:pStyle w:val="TAH"/>
              <w:jc w:val="both"/>
              <w:rPr>
                <w:lang w:val="en-US" w:eastAsia="ja-JP"/>
              </w:rPr>
            </w:pPr>
            <w:r w:rsidRPr="00AE5DF4">
              <w:rPr>
                <w:lang w:val="en-US" w:eastAsia="ja-JP"/>
              </w:rPr>
              <w:t>Range</w:t>
            </w:r>
          </w:p>
        </w:tc>
        <w:tc>
          <w:tcPr>
            <w:tcW w:w="1872" w:type="dxa"/>
          </w:tcPr>
          <w:p w14:paraId="103ABFF7" w14:textId="77777777" w:rsidR="00170A73" w:rsidRPr="00AE5DF4" w:rsidRDefault="00170A73" w:rsidP="00505494">
            <w:pPr>
              <w:pStyle w:val="TAH"/>
              <w:jc w:val="both"/>
              <w:rPr>
                <w:lang w:val="en-US" w:eastAsia="ja-JP"/>
              </w:rPr>
            </w:pPr>
            <w:r w:rsidRPr="00AE5DF4">
              <w:rPr>
                <w:lang w:val="en-US" w:eastAsia="ja-JP"/>
              </w:rPr>
              <w:t>IE type and reference</w:t>
            </w:r>
          </w:p>
        </w:tc>
        <w:tc>
          <w:tcPr>
            <w:tcW w:w="2880" w:type="dxa"/>
          </w:tcPr>
          <w:p w14:paraId="38E316D6" w14:textId="77777777" w:rsidR="00170A73" w:rsidRPr="00AE5DF4" w:rsidRDefault="00170A73" w:rsidP="00505494">
            <w:pPr>
              <w:pStyle w:val="TAH"/>
              <w:jc w:val="both"/>
              <w:rPr>
                <w:lang w:val="en-US" w:eastAsia="ja-JP"/>
              </w:rPr>
            </w:pPr>
            <w:r w:rsidRPr="00AE5DF4">
              <w:rPr>
                <w:lang w:val="en-US" w:eastAsia="ja-JP"/>
              </w:rPr>
              <w:t>Semantics description</w:t>
            </w:r>
          </w:p>
        </w:tc>
      </w:tr>
      <w:tr w:rsidR="00170A73" w:rsidRPr="00AE5DF4" w14:paraId="7F664936" w14:textId="77777777" w:rsidTr="00F61186">
        <w:trPr>
          <w:jc w:val="center"/>
        </w:trPr>
        <w:tc>
          <w:tcPr>
            <w:tcW w:w="2448" w:type="dxa"/>
          </w:tcPr>
          <w:p w14:paraId="5EA7A468" w14:textId="77777777" w:rsidR="00170A73" w:rsidRPr="00AE5DF4" w:rsidRDefault="00170A73" w:rsidP="00505494">
            <w:pPr>
              <w:keepNext/>
              <w:keepLines/>
              <w:spacing w:after="0"/>
              <w:jc w:val="both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AE5DF4">
              <w:rPr>
                <w:rFonts w:cs="Arial"/>
                <w:b/>
                <w:sz w:val="18"/>
                <w:szCs w:val="18"/>
                <w:lang w:eastAsia="ja-JP"/>
              </w:rPr>
              <w:t>IAB-MT Cell List</w:t>
            </w:r>
          </w:p>
        </w:tc>
        <w:tc>
          <w:tcPr>
            <w:tcW w:w="1080" w:type="dxa"/>
          </w:tcPr>
          <w:p w14:paraId="605B0D82" w14:textId="77777777" w:rsidR="00170A73" w:rsidRPr="00AE5DF4" w:rsidRDefault="00170A73" w:rsidP="00505494">
            <w:pPr>
              <w:pStyle w:val="TAL"/>
              <w:jc w:val="both"/>
              <w:rPr>
                <w:lang w:val="en-US" w:eastAsia="ja-JP"/>
              </w:rPr>
            </w:pPr>
          </w:p>
        </w:tc>
        <w:tc>
          <w:tcPr>
            <w:tcW w:w="1440" w:type="dxa"/>
          </w:tcPr>
          <w:p w14:paraId="20222B5D" w14:textId="77777777" w:rsidR="00170A73" w:rsidRPr="00AE5DF4" w:rsidRDefault="00170A73" w:rsidP="00505494">
            <w:pPr>
              <w:pStyle w:val="TAL"/>
              <w:jc w:val="both"/>
              <w:rPr>
                <w:i/>
                <w:lang w:val="en-US" w:eastAsia="ja-JP"/>
              </w:rPr>
            </w:pPr>
            <w:r w:rsidRPr="00AE5DF4">
              <w:rPr>
                <w:i/>
                <w:lang w:val="en-US" w:eastAsia="ja-JP"/>
              </w:rPr>
              <w:t>1</w:t>
            </w:r>
          </w:p>
        </w:tc>
        <w:tc>
          <w:tcPr>
            <w:tcW w:w="1872" w:type="dxa"/>
          </w:tcPr>
          <w:p w14:paraId="59E66148" w14:textId="77777777" w:rsidR="00170A73" w:rsidRPr="00AE5DF4" w:rsidRDefault="00170A73" w:rsidP="00505494">
            <w:pPr>
              <w:pStyle w:val="TAL"/>
              <w:jc w:val="both"/>
              <w:rPr>
                <w:lang w:val="en-US" w:eastAsia="ja-JP"/>
              </w:rPr>
            </w:pPr>
          </w:p>
        </w:tc>
        <w:tc>
          <w:tcPr>
            <w:tcW w:w="2880" w:type="dxa"/>
          </w:tcPr>
          <w:p w14:paraId="762EE078" w14:textId="77777777" w:rsidR="00170A73" w:rsidRPr="00AE5DF4" w:rsidRDefault="00170A73" w:rsidP="00505494">
            <w:pPr>
              <w:pStyle w:val="TAL"/>
              <w:jc w:val="both"/>
              <w:rPr>
                <w:lang w:val="en-US" w:eastAsia="ja-JP"/>
              </w:rPr>
            </w:pPr>
          </w:p>
        </w:tc>
      </w:tr>
      <w:tr w:rsidR="00170A73" w:rsidRPr="00AE5DF4" w14:paraId="1B50B324" w14:textId="77777777" w:rsidTr="00F61186">
        <w:trPr>
          <w:jc w:val="center"/>
        </w:trPr>
        <w:tc>
          <w:tcPr>
            <w:tcW w:w="2448" w:type="dxa"/>
          </w:tcPr>
          <w:p w14:paraId="121392EF" w14:textId="77777777" w:rsidR="00170A73" w:rsidRPr="00AE5DF4" w:rsidRDefault="00170A73" w:rsidP="00505494">
            <w:pPr>
              <w:keepNext/>
              <w:keepLines/>
              <w:spacing w:after="0"/>
              <w:ind w:left="100"/>
              <w:jc w:val="both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AE5DF4">
              <w:rPr>
                <w:rFonts w:cs="Arial"/>
                <w:b/>
                <w:sz w:val="18"/>
                <w:szCs w:val="18"/>
                <w:lang w:eastAsia="ja-JP"/>
              </w:rPr>
              <w:t>&gt;IAB-MT Cell Item</w:t>
            </w:r>
          </w:p>
        </w:tc>
        <w:tc>
          <w:tcPr>
            <w:tcW w:w="1080" w:type="dxa"/>
          </w:tcPr>
          <w:p w14:paraId="13F8871C" w14:textId="77777777" w:rsidR="00170A73" w:rsidRPr="00AE5DF4" w:rsidRDefault="00170A73" w:rsidP="00505494">
            <w:pPr>
              <w:pStyle w:val="TAL"/>
              <w:jc w:val="both"/>
              <w:rPr>
                <w:lang w:val="en-US" w:eastAsia="ja-JP"/>
              </w:rPr>
            </w:pPr>
          </w:p>
        </w:tc>
        <w:tc>
          <w:tcPr>
            <w:tcW w:w="1440" w:type="dxa"/>
          </w:tcPr>
          <w:p w14:paraId="4063FE0F" w14:textId="77777777" w:rsidR="00170A73" w:rsidRPr="00AE5DF4" w:rsidRDefault="00170A73" w:rsidP="00505494">
            <w:pPr>
              <w:pStyle w:val="TAL"/>
              <w:jc w:val="both"/>
              <w:rPr>
                <w:lang w:val="en-US" w:eastAsia="ja-JP"/>
              </w:rPr>
            </w:pPr>
            <w:r w:rsidRPr="00AE5DF4">
              <w:rPr>
                <w:i/>
                <w:lang w:val="en-US" w:eastAsia="ja-JP"/>
              </w:rPr>
              <w:t>1</w:t>
            </w:r>
            <w:proofErr w:type="gramStart"/>
            <w:r w:rsidRPr="00AE5DF4">
              <w:rPr>
                <w:lang w:val="en-US" w:eastAsia="ja-JP"/>
              </w:rPr>
              <w:t xml:space="preserve"> ..</w:t>
            </w:r>
            <w:proofErr w:type="gramEnd"/>
            <w:r w:rsidRPr="00AE5DF4">
              <w:rPr>
                <w:lang w:val="en-US" w:eastAsia="ja-JP"/>
              </w:rPr>
              <w:t xml:space="preserve"> &lt;</w:t>
            </w:r>
            <w:proofErr w:type="spellStart"/>
            <w:r w:rsidRPr="00AE5DF4">
              <w:rPr>
                <w:i/>
                <w:iCs/>
                <w:lang w:val="en-US" w:eastAsia="ja-JP"/>
              </w:rPr>
              <w:t>maxnoofServingCells</w:t>
            </w:r>
            <w:proofErr w:type="spellEnd"/>
            <w:r w:rsidRPr="00AE5DF4">
              <w:rPr>
                <w:lang w:val="en-US" w:eastAsia="ja-JP"/>
              </w:rPr>
              <w:t>&gt;</w:t>
            </w:r>
          </w:p>
        </w:tc>
        <w:tc>
          <w:tcPr>
            <w:tcW w:w="1872" w:type="dxa"/>
          </w:tcPr>
          <w:p w14:paraId="57166AD3" w14:textId="77777777" w:rsidR="00170A73" w:rsidRPr="00AE5DF4" w:rsidRDefault="00170A73" w:rsidP="00505494">
            <w:pPr>
              <w:pStyle w:val="TAL"/>
              <w:jc w:val="both"/>
              <w:rPr>
                <w:lang w:val="en-US" w:eastAsia="ja-JP"/>
              </w:rPr>
            </w:pPr>
          </w:p>
        </w:tc>
        <w:tc>
          <w:tcPr>
            <w:tcW w:w="2880" w:type="dxa"/>
          </w:tcPr>
          <w:p w14:paraId="120D17A4" w14:textId="77777777" w:rsidR="00170A73" w:rsidRPr="00AE5DF4" w:rsidRDefault="00170A73" w:rsidP="00505494">
            <w:pPr>
              <w:pStyle w:val="TAL"/>
              <w:jc w:val="both"/>
              <w:rPr>
                <w:lang w:val="en-US" w:eastAsia="ja-JP"/>
              </w:rPr>
            </w:pPr>
          </w:p>
        </w:tc>
      </w:tr>
      <w:tr w:rsidR="00170A73" w:rsidRPr="00AE5DF4" w14:paraId="10905B44" w14:textId="77777777" w:rsidTr="00F61186">
        <w:trPr>
          <w:jc w:val="center"/>
        </w:trPr>
        <w:tc>
          <w:tcPr>
            <w:tcW w:w="2448" w:type="dxa"/>
          </w:tcPr>
          <w:p w14:paraId="01F52747" w14:textId="77777777" w:rsidR="00170A73" w:rsidRPr="00AE5DF4" w:rsidRDefault="00170A73" w:rsidP="00505494">
            <w:pPr>
              <w:keepNext/>
              <w:keepLines/>
              <w:spacing w:after="0"/>
              <w:ind w:left="200"/>
              <w:jc w:val="both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AE5DF4">
              <w:rPr>
                <w:rFonts w:cs="Arial"/>
                <w:bCs/>
                <w:sz w:val="18"/>
                <w:szCs w:val="18"/>
                <w:lang w:eastAsia="ja-JP"/>
              </w:rPr>
              <w:t>&gt;&gt;NR Cell Identity</w:t>
            </w:r>
          </w:p>
        </w:tc>
        <w:tc>
          <w:tcPr>
            <w:tcW w:w="1080" w:type="dxa"/>
          </w:tcPr>
          <w:p w14:paraId="34F06EF0" w14:textId="77777777" w:rsidR="00170A73" w:rsidRPr="00AE5DF4" w:rsidRDefault="00170A73" w:rsidP="00505494">
            <w:pPr>
              <w:pStyle w:val="TAL"/>
              <w:jc w:val="both"/>
              <w:rPr>
                <w:lang w:val="en-US" w:eastAsia="ja-JP"/>
              </w:rPr>
            </w:pPr>
            <w:r w:rsidRPr="00AE5DF4">
              <w:rPr>
                <w:lang w:val="en-US" w:eastAsia="ja-JP"/>
              </w:rPr>
              <w:t>M</w:t>
            </w:r>
          </w:p>
        </w:tc>
        <w:tc>
          <w:tcPr>
            <w:tcW w:w="1440" w:type="dxa"/>
          </w:tcPr>
          <w:p w14:paraId="06DCC41C" w14:textId="77777777" w:rsidR="00170A73" w:rsidRPr="00AE5DF4" w:rsidRDefault="00170A73" w:rsidP="00505494">
            <w:pPr>
              <w:pStyle w:val="TAL"/>
              <w:jc w:val="both"/>
              <w:rPr>
                <w:lang w:val="en-US" w:eastAsia="ja-JP"/>
              </w:rPr>
            </w:pPr>
          </w:p>
        </w:tc>
        <w:tc>
          <w:tcPr>
            <w:tcW w:w="1872" w:type="dxa"/>
          </w:tcPr>
          <w:p w14:paraId="5E5C2543" w14:textId="77777777" w:rsidR="00170A73" w:rsidRPr="00AE5DF4" w:rsidRDefault="00170A73" w:rsidP="00505494">
            <w:pPr>
              <w:pStyle w:val="TAL"/>
              <w:jc w:val="both"/>
              <w:rPr>
                <w:lang w:val="en-US" w:eastAsia="ja-JP"/>
              </w:rPr>
            </w:pPr>
            <w:r w:rsidRPr="00AE5DF4">
              <w:rPr>
                <w:lang w:val="en-US" w:eastAsia="ja-JP"/>
              </w:rPr>
              <w:t>BIT STRING (</w:t>
            </w:r>
            <w:proofErr w:type="gramStart"/>
            <w:r w:rsidRPr="00AE5DF4">
              <w:rPr>
                <w:lang w:val="en-US" w:eastAsia="ja-JP"/>
              </w:rPr>
              <w:t>SIZE(</w:t>
            </w:r>
            <w:proofErr w:type="gramEnd"/>
            <w:r w:rsidRPr="00AE5DF4">
              <w:rPr>
                <w:lang w:val="en-US" w:eastAsia="ja-JP"/>
              </w:rPr>
              <w:t>36))</w:t>
            </w:r>
          </w:p>
        </w:tc>
        <w:tc>
          <w:tcPr>
            <w:tcW w:w="2880" w:type="dxa"/>
          </w:tcPr>
          <w:p w14:paraId="100E52EF" w14:textId="77777777" w:rsidR="00170A73" w:rsidRPr="00AE5DF4" w:rsidRDefault="00170A73" w:rsidP="00505494">
            <w:pPr>
              <w:pStyle w:val="TAL"/>
              <w:jc w:val="both"/>
              <w:rPr>
                <w:lang w:val="en-US" w:eastAsia="ja-JP"/>
              </w:rPr>
            </w:pPr>
            <w:r w:rsidRPr="00AE5DF4">
              <w:rPr>
                <w:lang w:val="en-US" w:eastAsia="ja-JP"/>
              </w:rPr>
              <w:t>Cell identity of a serving cell configured for a collocated IAB-MT.</w:t>
            </w:r>
          </w:p>
        </w:tc>
      </w:tr>
      <w:tr w:rsidR="00170A73" w:rsidRPr="00AE5DF4" w14:paraId="4090187D" w14:textId="77777777" w:rsidTr="00F61186">
        <w:trPr>
          <w:jc w:val="center"/>
        </w:trPr>
        <w:tc>
          <w:tcPr>
            <w:tcW w:w="2448" w:type="dxa"/>
          </w:tcPr>
          <w:p w14:paraId="0D09FB46" w14:textId="77777777" w:rsidR="00170A73" w:rsidRPr="00AE5DF4" w:rsidRDefault="00170A73" w:rsidP="00505494">
            <w:pPr>
              <w:keepNext/>
              <w:keepLines/>
              <w:spacing w:after="0"/>
              <w:ind w:left="200"/>
              <w:jc w:val="both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AE5DF4">
              <w:rPr>
                <w:rFonts w:cs="Arial"/>
                <w:bCs/>
                <w:sz w:val="18"/>
                <w:szCs w:val="18"/>
                <w:lang w:eastAsia="ja-JP"/>
              </w:rPr>
              <w:t>&gt;&gt;DU_RX/MT_RX</w:t>
            </w:r>
          </w:p>
        </w:tc>
        <w:tc>
          <w:tcPr>
            <w:tcW w:w="1080" w:type="dxa"/>
          </w:tcPr>
          <w:p w14:paraId="52F96F6A" w14:textId="77777777" w:rsidR="00170A73" w:rsidRPr="00AE5DF4" w:rsidRDefault="00170A73" w:rsidP="00505494">
            <w:pPr>
              <w:pStyle w:val="TAL"/>
              <w:jc w:val="both"/>
              <w:rPr>
                <w:lang w:val="en-US" w:eastAsia="ja-JP"/>
              </w:rPr>
            </w:pPr>
            <w:r w:rsidRPr="00AE5DF4">
              <w:rPr>
                <w:lang w:val="en-US" w:eastAsia="ja-JP"/>
              </w:rPr>
              <w:t>M</w:t>
            </w:r>
          </w:p>
        </w:tc>
        <w:tc>
          <w:tcPr>
            <w:tcW w:w="1440" w:type="dxa"/>
          </w:tcPr>
          <w:p w14:paraId="46341E2F" w14:textId="77777777" w:rsidR="00170A73" w:rsidRPr="00AE5DF4" w:rsidRDefault="00170A73" w:rsidP="00505494">
            <w:pPr>
              <w:pStyle w:val="TAL"/>
              <w:jc w:val="both"/>
              <w:rPr>
                <w:lang w:val="en-US" w:eastAsia="ja-JP"/>
              </w:rPr>
            </w:pPr>
          </w:p>
        </w:tc>
        <w:tc>
          <w:tcPr>
            <w:tcW w:w="1872" w:type="dxa"/>
          </w:tcPr>
          <w:p w14:paraId="5876C165" w14:textId="77777777" w:rsidR="00170A73" w:rsidRPr="00AE5DF4" w:rsidRDefault="00170A73" w:rsidP="00505494">
            <w:pPr>
              <w:pStyle w:val="TAL"/>
              <w:jc w:val="both"/>
              <w:rPr>
                <w:lang w:val="en-US" w:eastAsia="ja-JP"/>
              </w:rPr>
            </w:pPr>
            <w:r w:rsidRPr="00AE5DF4">
              <w:rPr>
                <w:lang w:val="en-US" w:eastAsia="ja-JP"/>
              </w:rPr>
              <w:t xml:space="preserve">ENUMERATED (supported, not supported, </w:t>
            </w:r>
            <w:r w:rsidRPr="00AE5DF4">
              <w:rPr>
                <w:color w:val="FF0000"/>
                <w:lang w:val="en-US" w:eastAsia="ja-JP"/>
              </w:rPr>
              <w:t>supported-FDM required</w:t>
            </w:r>
            <w:r w:rsidRPr="00AE5DF4">
              <w:rPr>
                <w:lang w:val="en-US" w:eastAsia="ja-JP"/>
              </w:rPr>
              <w:t>)</w:t>
            </w:r>
          </w:p>
        </w:tc>
        <w:tc>
          <w:tcPr>
            <w:tcW w:w="2880" w:type="dxa"/>
          </w:tcPr>
          <w:p w14:paraId="5EE6351A" w14:textId="77777777" w:rsidR="00170A73" w:rsidRPr="00AE5DF4" w:rsidRDefault="00170A73" w:rsidP="00505494">
            <w:pPr>
              <w:pStyle w:val="TAL"/>
              <w:jc w:val="both"/>
              <w:rPr>
                <w:lang w:val="en-US"/>
              </w:rPr>
            </w:pPr>
            <w:r w:rsidRPr="00AE5DF4">
              <w:rPr>
                <w:lang w:val="en-US"/>
              </w:rPr>
              <w:t>An indication of whether the IAB-node supports simultaneous reception at its DU and MT side.</w:t>
            </w:r>
          </w:p>
        </w:tc>
      </w:tr>
      <w:tr w:rsidR="00170A73" w:rsidRPr="00AE5DF4" w14:paraId="1739D144" w14:textId="77777777" w:rsidTr="00F61186">
        <w:trPr>
          <w:trHeight w:val="503"/>
          <w:jc w:val="center"/>
        </w:trPr>
        <w:tc>
          <w:tcPr>
            <w:tcW w:w="2448" w:type="dxa"/>
          </w:tcPr>
          <w:p w14:paraId="7308386B" w14:textId="77777777" w:rsidR="00170A73" w:rsidRPr="00AE5DF4" w:rsidRDefault="00170A73" w:rsidP="00505494">
            <w:pPr>
              <w:keepNext/>
              <w:keepLines/>
              <w:spacing w:after="0"/>
              <w:ind w:left="200"/>
              <w:jc w:val="both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AE5DF4">
              <w:rPr>
                <w:rFonts w:cs="Arial"/>
                <w:bCs/>
                <w:sz w:val="18"/>
                <w:szCs w:val="18"/>
                <w:lang w:eastAsia="ja-JP"/>
              </w:rPr>
              <w:t>&gt;&gt;DU_TX/MT_TX</w:t>
            </w:r>
          </w:p>
        </w:tc>
        <w:tc>
          <w:tcPr>
            <w:tcW w:w="1080" w:type="dxa"/>
          </w:tcPr>
          <w:p w14:paraId="1D6945E0" w14:textId="77777777" w:rsidR="00170A73" w:rsidRPr="00AE5DF4" w:rsidRDefault="00170A73" w:rsidP="00505494">
            <w:pPr>
              <w:pStyle w:val="TAL"/>
              <w:jc w:val="both"/>
              <w:rPr>
                <w:lang w:val="en-US" w:eastAsia="ja-JP"/>
              </w:rPr>
            </w:pPr>
            <w:r w:rsidRPr="00AE5DF4">
              <w:rPr>
                <w:lang w:val="en-US" w:eastAsia="ja-JP"/>
              </w:rPr>
              <w:t>M</w:t>
            </w:r>
          </w:p>
        </w:tc>
        <w:tc>
          <w:tcPr>
            <w:tcW w:w="1440" w:type="dxa"/>
          </w:tcPr>
          <w:p w14:paraId="6AAA7684" w14:textId="77777777" w:rsidR="00170A73" w:rsidRPr="00AE5DF4" w:rsidRDefault="00170A73" w:rsidP="00505494">
            <w:pPr>
              <w:pStyle w:val="TAL"/>
              <w:jc w:val="both"/>
              <w:rPr>
                <w:lang w:val="en-US" w:eastAsia="ja-JP"/>
              </w:rPr>
            </w:pPr>
          </w:p>
        </w:tc>
        <w:tc>
          <w:tcPr>
            <w:tcW w:w="1872" w:type="dxa"/>
          </w:tcPr>
          <w:p w14:paraId="2891A57C" w14:textId="77777777" w:rsidR="00170A73" w:rsidRPr="00AE5DF4" w:rsidRDefault="00170A73" w:rsidP="00505494">
            <w:pPr>
              <w:pStyle w:val="TAL"/>
              <w:jc w:val="both"/>
              <w:rPr>
                <w:lang w:val="en-US" w:eastAsia="ja-JP"/>
              </w:rPr>
            </w:pPr>
            <w:r w:rsidRPr="00AE5DF4">
              <w:rPr>
                <w:lang w:val="en-US" w:eastAsia="ja-JP"/>
              </w:rPr>
              <w:t xml:space="preserve">ENUMERATED (supported, not supported, </w:t>
            </w:r>
            <w:r w:rsidRPr="00AE5DF4">
              <w:rPr>
                <w:color w:val="FF0000"/>
                <w:lang w:val="en-US" w:eastAsia="ja-JP"/>
              </w:rPr>
              <w:t>supported-FDM required</w:t>
            </w:r>
            <w:r w:rsidRPr="00AE5DF4">
              <w:rPr>
                <w:lang w:val="en-US" w:eastAsia="ja-JP"/>
              </w:rPr>
              <w:t>)</w:t>
            </w:r>
          </w:p>
        </w:tc>
        <w:tc>
          <w:tcPr>
            <w:tcW w:w="2880" w:type="dxa"/>
          </w:tcPr>
          <w:p w14:paraId="76863F5D" w14:textId="77777777" w:rsidR="00170A73" w:rsidRPr="00AE5DF4" w:rsidRDefault="00170A73" w:rsidP="00505494">
            <w:pPr>
              <w:pStyle w:val="TAL"/>
              <w:jc w:val="both"/>
              <w:rPr>
                <w:lang w:val="en-US" w:eastAsia="ja-JP"/>
              </w:rPr>
            </w:pPr>
            <w:r w:rsidRPr="00AE5DF4">
              <w:rPr>
                <w:lang w:val="en-US"/>
              </w:rPr>
              <w:t>An indication of whether the IAB-node supports simultaneous transmission at its DU and MT side.</w:t>
            </w:r>
          </w:p>
        </w:tc>
      </w:tr>
      <w:tr w:rsidR="00170A73" w:rsidRPr="00AE5DF4" w14:paraId="1679EF67" w14:textId="77777777" w:rsidTr="00F61186">
        <w:trPr>
          <w:trHeight w:val="503"/>
          <w:jc w:val="center"/>
        </w:trPr>
        <w:tc>
          <w:tcPr>
            <w:tcW w:w="2448" w:type="dxa"/>
          </w:tcPr>
          <w:p w14:paraId="201DE88F" w14:textId="77777777" w:rsidR="00170A73" w:rsidRPr="00AE5DF4" w:rsidRDefault="00170A73" w:rsidP="00505494">
            <w:pPr>
              <w:keepNext/>
              <w:keepLines/>
              <w:spacing w:after="0"/>
              <w:ind w:left="200"/>
              <w:jc w:val="both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AE5DF4">
              <w:rPr>
                <w:rFonts w:cs="Arial"/>
                <w:bCs/>
                <w:sz w:val="18"/>
                <w:szCs w:val="18"/>
                <w:lang w:eastAsia="ja-JP"/>
              </w:rPr>
              <w:t>&gt;&gt;DU_TX/MT_RX</w:t>
            </w:r>
          </w:p>
        </w:tc>
        <w:tc>
          <w:tcPr>
            <w:tcW w:w="1080" w:type="dxa"/>
          </w:tcPr>
          <w:p w14:paraId="366F7B09" w14:textId="77777777" w:rsidR="00170A73" w:rsidRPr="00AE5DF4" w:rsidRDefault="00170A73" w:rsidP="00505494">
            <w:pPr>
              <w:pStyle w:val="TAL"/>
              <w:jc w:val="both"/>
              <w:rPr>
                <w:lang w:val="en-US" w:eastAsia="ja-JP"/>
              </w:rPr>
            </w:pPr>
            <w:r w:rsidRPr="00AE5DF4">
              <w:rPr>
                <w:lang w:val="en-US" w:eastAsia="ja-JP"/>
              </w:rPr>
              <w:t>M</w:t>
            </w:r>
          </w:p>
        </w:tc>
        <w:tc>
          <w:tcPr>
            <w:tcW w:w="1440" w:type="dxa"/>
          </w:tcPr>
          <w:p w14:paraId="6DCFCDE0" w14:textId="77777777" w:rsidR="00170A73" w:rsidRPr="00AE5DF4" w:rsidRDefault="00170A73" w:rsidP="00505494">
            <w:pPr>
              <w:pStyle w:val="TAL"/>
              <w:jc w:val="both"/>
              <w:rPr>
                <w:lang w:val="en-US" w:eastAsia="ja-JP"/>
              </w:rPr>
            </w:pPr>
          </w:p>
        </w:tc>
        <w:tc>
          <w:tcPr>
            <w:tcW w:w="1872" w:type="dxa"/>
          </w:tcPr>
          <w:p w14:paraId="581A00C3" w14:textId="77777777" w:rsidR="00170A73" w:rsidRPr="00AE5DF4" w:rsidRDefault="00170A73" w:rsidP="00505494">
            <w:pPr>
              <w:pStyle w:val="TAL"/>
              <w:jc w:val="both"/>
              <w:rPr>
                <w:lang w:val="en-US" w:eastAsia="ja-JP"/>
              </w:rPr>
            </w:pPr>
            <w:r w:rsidRPr="00AE5DF4">
              <w:rPr>
                <w:lang w:val="en-US" w:eastAsia="ja-JP"/>
              </w:rPr>
              <w:t>ENUMERATED (supported, not supported)</w:t>
            </w:r>
          </w:p>
        </w:tc>
        <w:tc>
          <w:tcPr>
            <w:tcW w:w="2880" w:type="dxa"/>
          </w:tcPr>
          <w:p w14:paraId="789C1260" w14:textId="77777777" w:rsidR="00170A73" w:rsidRPr="00AE5DF4" w:rsidRDefault="00170A73" w:rsidP="00505494">
            <w:pPr>
              <w:pStyle w:val="TAL"/>
              <w:jc w:val="both"/>
              <w:rPr>
                <w:lang w:val="en-US" w:eastAsia="ja-JP"/>
              </w:rPr>
            </w:pPr>
            <w:r w:rsidRPr="00AE5DF4">
              <w:rPr>
                <w:lang w:val="en-US"/>
              </w:rPr>
              <w:t>An indication of whether the IAB-node supports simultaneous transmission at its DU and reception at its MT side.</w:t>
            </w:r>
          </w:p>
        </w:tc>
      </w:tr>
      <w:tr w:rsidR="00170A73" w:rsidRPr="00AE5DF4" w14:paraId="020F39CE" w14:textId="77777777" w:rsidTr="00F61186">
        <w:trPr>
          <w:trHeight w:val="503"/>
          <w:jc w:val="center"/>
        </w:trPr>
        <w:tc>
          <w:tcPr>
            <w:tcW w:w="2448" w:type="dxa"/>
          </w:tcPr>
          <w:p w14:paraId="5EE20614" w14:textId="77777777" w:rsidR="00170A73" w:rsidRPr="00AE5DF4" w:rsidRDefault="00170A73" w:rsidP="00505494">
            <w:pPr>
              <w:keepNext/>
              <w:keepLines/>
              <w:spacing w:after="0"/>
              <w:ind w:left="200"/>
              <w:jc w:val="both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AE5DF4">
              <w:rPr>
                <w:rFonts w:cs="Arial"/>
                <w:bCs/>
                <w:sz w:val="18"/>
                <w:szCs w:val="18"/>
                <w:lang w:eastAsia="ja-JP"/>
              </w:rPr>
              <w:t>&gt;&gt;DU_RX/MT_TX</w:t>
            </w:r>
          </w:p>
        </w:tc>
        <w:tc>
          <w:tcPr>
            <w:tcW w:w="1080" w:type="dxa"/>
          </w:tcPr>
          <w:p w14:paraId="201007EE" w14:textId="77777777" w:rsidR="00170A73" w:rsidRPr="00AE5DF4" w:rsidRDefault="00170A73" w:rsidP="00505494">
            <w:pPr>
              <w:pStyle w:val="TAL"/>
              <w:jc w:val="both"/>
              <w:rPr>
                <w:lang w:val="en-US" w:eastAsia="ja-JP"/>
              </w:rPr>
            </w:pPr>
            <w:r w:rsidRPr="00AE5DF4">
              <w:rPr>
                <w:lang w:val="en-US" w:eastAsia="ja-JP"/>
              </w:rPr>
              <w:t>M</w:t>
            </w:r>
          </w:p>
        </w:tc>
        <w:tc>
          <w:tcPr>
            <w:tcW w:w="1440" w:type="dxa"/>
          </w:tcPr>
          <w:p w14:paraId="220D070F" w14:textId="77777777" w:rsidR="00170A73" w:rsidRPr="00AE5DF4" w:rsidRDefault="00170A73" w:rsidP="00505494">
            <w:pPr>
              <w:pStyle w:val="TAL"/>
              <w:jc w:val="both"/>
              <w:rPr>
                <w:lang w:val="en-US" w:eastAsia="ja-JP"/>
              </w:rPr>
            </w:pPr>
          </w:p>
        </w:tc>
        <w:tc>
          <w:tcPr>
            <w:tcW w:w="1872" w:type="dxa"/>
          </w:tcPr>
          <w:p w14:paraId="68D49CDE" w14:textId="77777777" w:rsidR="00170A73" w:rsidRPr="00AE5DF4" w:rsidRDefault="00170A73" w:rsidP="00505494">
            <w:pPr>
              <w:pStyle w:val="TAL"/>
              <w:jc w:val="both"/>
              <w:rPr>
                <w:lang w:val="en-US" w:eastAsia="ja-JP"/>
              </w:rPr>
            </w:pPr>
            <w:r w:rsidRPr="00AE5DF4">
              <w:rPr>
                <w:lang w:val="en-US" w:eastAsia="ja-JP"/>
              </w:rPr>
              <w:t>ENUMERATED (supported, not supported)</w:t>
            </w:r>
          </w:p>
        </w:tc>
        <w:tc>
          <w:tcPr>
            <w:tcW w:w="2880" w:type="dxa"/>
          </w:tcPr>
          <w:p w14:paraId="3F92E95C" w14:textId="77777777" w:rsidR="00170A73" w:rsidRPr="00AE5DF4" w:rsidRDefault="00170A73" w:rsidP="00505494">
            <w:pPr>
              <w:pStyle w:val="TAL"/>
              <w:jc w:val="both"/>
              <w:rPr>
                <w:lang w:val="en-US" w:eastAsia="ja-JP"/>
              </w:rPr>
            </w:pPr>
            <w:r w:rsidRPr="00AE5DF4">
              <w:rPr>
                <w:lang w:val="en-US"/>
              </w:rPr>
              <w:t>An indication of whether the IAB-node supports simultaneous reception at its DU and transmission at its MT side.</w:t>
            </w:r>
          </w:p>
        </w:tc>
      </w:tr>
    </w:tbl>
    <w:p w14:paraId="1D293CF9" w14:textId="77777777" w:rsidR="00170A73" w:rsidRPr="00AE5DF4" w:rsidRDefault="00170A73" w:rsidP="00505494">
      <w:pPr>
        <w:jc w:val="both"/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70A73" w:rsidRPr="00AE5DF4" w14:paraId="6AF15C7A" w14:textId="77777777" w:rsidTr="00F61186">
        <w:tc>
          <w:tcPr>
            <w:tcW w:w="3686" w:type="dxa"/>
          </w:tcPr>
          <w:p w14:paraId="5214EB95" w14:textId="77777777" w:rsidR="00170A73" w:rsidRPr="00AE5DF4" w:rsidRDefault="00170A73" w:rsidP="00505494">
            <w:pPr>
              <w:pStyle w:val="TAH"/>
              <w:jc w:val="both"/>
              <w:rPr>
                <w:lang w:val="en-US" w:eastAsia="ja-JP"/>
              </w:rPr>
            </w:pPr>
            <w:r w:rsidRPr="00AE5DF4">
              <w:rPr>
                <w:lang w:val="en-US" w:eastAsia="ja-JP"/>
              </w:rPr>
              <w:t>Range bound</w:t>
            </w:r>
          </w:p>
        </w:tc>
        <w:tc>
          <w:tcPr>
            <w:tcW w:w="5670" w:type="dxa"/>
          </w:tcPr>
          <w:p w14:paraId="079E9CC8" w14:textId="77777777" w:rsidR="00170A73" w:rsidRPr="00AE5DF4" w:rsidRDefault="00170A73" w:rsidP="00505494">
            <w:pPr>
              <w:pStyle w:val="TAH"/>
              <w:jc w:val="both"/>
              <w:rPr>
                <w:lang w:val="en-US" w:eastAsia="ja-JP"/>
              </w:rPr>
            </w:pPr>
            <w:r w:rsidRPr="00AE5DF4">
              <w:rPr>
                <w:lang w:val="en-US" w:eastAsia="ja-JP"/>
              </w:rPr>
              <w:t>Explanation</w:t>
            </w:r>
          </w:p>
        </w:tc>
      </w:tr>
      <w:tr w:rsidR="00170A73" w:rsidRPr="00AE5DF4" w14:paraId="750EB006" w14:textId="77777777" w:rsidTr="00F61186">
        <w:tc>
          <w:tcPr>
            <w:tcW w:w="3686" w:type="dxa"/>
          </w:tcPr>
          <w:p w14:paraId="48759A86" w14:textId="77777777" w:rsidR="00170A73" w:rsidRPr="00AE5DF4" w:rsidRDefault="00170A73" w:rsidP="00505494">
            <w:pPr>
              <w:pStyle w:val="TAL"/>
              <w:jc w:val="both"/>
              <w:rPr>
                <w:lang w:val="en-US" w:eastAsia="ja-JP"/>
              </w:rPr>
            </w:pPr>
            <w:proofErr w:type="spellStart"/>
            <w:r w:rsidRPr="00AE5DF4">
              <w:rPr>
                <w:lang w:val="en-US" w:eastAsia="ja-JP"/>
              </w:rPr>
              <w:t>maxnoofServingCells</w:t>
            </w:r>
            <w:proofErr w:type="spellEnd"/>
          </w:p>
        </w:tc>
        <w:tc>
          <w:tcPr>
            <w:tcW w:w="5670" w:type="dxa"/>
          </w:tcPr>
          <w:p w14:paraId="62B5D73A" w14:textId="77777777" w:rsidR="00170A73" w:rsidRPr="00AE5DF4" w:rsidRDefault="00170A73" w:rsidP="00505494">
            <w:pPr>
              <w:pStyle w:val="TAL"/>
              <w:jc w:val="both"/>
              <w:rPr>
                <w:lang w:val="en-US" w:eastAsia="ja-JP"/>
              </w:rPr>
            </w:pPr>
            <w:r w:rsidRPr="00AE5DF4">
              <w:rPr>
                <w:lang w:val="en-US" w:eastAsia="ja-JP"/>
              </w:rPr>
              <w:t xml:space="preserve">Maximum no. of serving cells for IAB-MT. Value is 32, as defined by the </w:t>
            </w:r>
            <w:proofErr w:type="spellStart"/>
            <w:r w:rsidRPr="00AE5DF4">
              <w:rPr>
                <w:i/>
                <w:lang w:val="en-US" w:eastAsia="ja-JP"/>
              </w:rPr>
              <w:t>maxNrofServingCells</w:t>
            </w:r>
            <w:proofErr w:type="spellEnd"/>
            <w:r w:rsidRPr="00AE5DF4">
              <w:rPr>
                <w:lang w:val="en-US" w:eastAsia="ja-JP"/>
              </w:rPr>
              <w:t xml:space="preserve"> in TS 38.331 [8].</w:t>
            </w:r>
          </w:p>
        </w:tc>
      </w:tr>
    </w:tbl>
    <w:p w14:paraId="4F83BBDB" w14:textId="77777777" w:rsidR="00170A73" w:rsidRPr="00AE5DF4" w:rsidRDefault="00170A73" w:rsidP="00505494">
      <w:pPr>
        <w:jc w:val="both"/>
      </w:pPr>
    </w:p>
    <w:p w14:paraId="0BCAAD22" w14:textId="77777777" w:rsidR="00170A73" w:rsidRPr="00AE5DF4" w:rsidRDefault="00170A73" w:rsidP="00505494">
      <w:pPr>
        <w:jc w:val="both"/>
        <w:rPr>
          <w:rFonts w:ascii="Times New Roman" w:hAnsi="Times New Roman" w:cs="Times New Roman"/>
          <w:b/>
          <w:bCs/>
        </w:rPr>
      </w:pPr>
      <w:r w:rsidRPr="00AE5DF4">
        <w:rPr>
          <w:b/>
          <w:bCs/>
        </w:rPr>
        <w:t>-------------------- End of proposed modification of TS 38.473 ----------------------------</w:t>
      </w:r>
    </w:p>
    <w:p w14:paraId="7B9EC1B9" w14:textId="77777777" w:rsidR="00FE48D0" w:rsidRPr="00AE5DF4" w:rsidRDefault="00FE48D0" w:rsidP="00505494">
      <w:pPr>
        <w:jc w:val="both"/>
      </w:pPr>
    </w:p>
    <w:p w14:paraId="3F8211CD" w14:textId="0D6FD3AC" w:rsidR="00FE48D0" w:rsidRPr="00AE5DF4" w:rsidRDefault="00FE48D0" w:rsidP="00505494">
      <w:pPr>
        <w:jc w:val="both"/>
      </w:pPr>
      <w:r w:rsidRPr="00AE5DF4">
        <w:t xml:space="preserve">After receiving the semi-static configuration from the donor-CU, the IAB-node should initialize the exchange of the operational parameters, i.e., multiplexing conditions, for simultaneous operation with its parent node and child node. We do not see a need to inform the donor-CU about IAB-node’s ability to exploit simultaneous operation regarding timing mode, power adjustment, beam indication and guard band. The two agreements below from RAN1#104e </w:t>
      </w:r>
      <w:r w:rsidRPr="00AE5DF4">
        <w:fldChar w:fldCharType="begin"/>
      </w:r>
      <w:r w:rsidRPr="00AE5DF4">
        <w:instrText xml:space="preserve"> REF _Ref85827440 \r \h </w:instrText>
      </w:r>
      <w:r w:rsidR="00505494" w:rsidRPr="00AE5DF4">
        <w:instrText xml:space="preserve"> \* MERGEFORMAT </w:instrText>
      </w:r>
      <w:r w:rsidRPr="00AE5DF4">
        <w:fldChar w:fldCharType="separate"/>
      </w:r>
      <w:r w:rsidR="005419EA">
        <w:t>[3]</w:t>
      </w:r>
      <w:r w:rsidRPr="00AE5DF4">
        <w:fldChar w:fldCharType="end"/>
      </w:r>
      <w:r w:rsidRPr="00AE5DF4">
        <w:t xml:space="preserve"> and RAN1#105e </w:t>
      </w:r>
      <w:r w:rsidRPr="00AE5DF4">
        <w:fldChar w:fldCharType="begin"/>
      </w:r>
      <w:r w:rsidRPr="00AE5DF4">
        <w:instrText xml:space="preserve"> REF _Ref85827451 \r \h </w:instrText>
      </w:r>
      <w:r w:rsidR="00505494" w:rsidRPr="00AE5DF4">
        <w:instrText xml:space="preserve"> \* MERGEFORMAT </w:instrText>
      </w:r>
      <w:r w:rsidRPr="00AE5DF4">
        <w:fldChar w:fldCharType="separate"/>
      </w:r>
      <w:r w:rsidR="005419EA">
        <w:t>[4]</w:t>
      </w:r>
      <w:r w:rsidRPr="00AE5DF4">
        <w:fldChar w:fldCharType="end"/>
      </w:r>
      <w:r w:rsidRPr="00AE5DF4">
        <w:t xml:space="preserve"> clearly state that the IAB-node the information on multiplexing conditions (e.g., timing mode, power control, beam indication </w:t>
      </w:r>
      <w:proofErr w:type="spellStart"/>
      <w:r w:rsidRPr="00AE5DF4">
        <w:t>etc</w:t>
      </w:r>
      <w:proofErr w:type="spellEnd"/>
      <w:r w:rsidRPr="00AE5DF4">
        <w:t xml:space="preserve">) can be dynamically provided to the parent IAB-node.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E48D0" w:rsidRPr="00AE5DF4" w14:paraId="5A5BE5F6" w14:textId="77777777" w:rsidTr="00F61186">
        <w:tc>
          <w:tcPr>
            <w:tcW w:w="9629" w:type="dxa"/>
          </w:tcPr>
          <w:p w14:paraId="7BF1AEF9" w14:textId="77777777" w:rsidR="00FE48D0" w:rsidRPr="00AE5DF4" w:rsidRDefault="00FE48D0" w:rsidP="00505494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highlight w:val="green"/>
                <w:lang w:val="en-US"/>
              </w:rPr>
            </w:pPr>
            <w:r w:rsidRPr="00AE5DF4">
              <w:rPr>
                <w:rFonts w:ascii="Arial" w:hAnsi="Arial" w:cs="Arial"/>
                <w:b/>
                <w:bCs/>
                <w:sz w:val="20"/>
                <w:szCs w:val="20"/>
                <w:highlight w:val="green"/>
                <w:lang w:val="en-US"/>
              </w:rPr>
              <w:t>Agreement (RAN#1104e)</w:t>
            </w:r>
          </w:p>
          <w:p w14:paraId="01D28DEE" w14:textId="77777777" w:rsidR="00FE48D0" w:rsidRPr="00AE5DF4" w:rsidRDefault="00FE48D0" w:rsidP="00505494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5DF4">
              <w:rPr>
                <w:rFonts w:ascii="Arial" w:hAnsi="Arial" w:cs="Arial"/>
                <w:sz w:val="20"/>
                <w:szCs w:val="20"/>
                <w:lang w:val="en-US"/>
              </w:rPr>
              <w:t>Support indication/reporting of information between an IAB node and its parent node to assist in the determination of the applicability of a given multiplexing capability in case of simultaneous operation. The following solutions are considered (other solutions not precluded):</w:t>
            </w:r>
          </w:p>
          <w:p w14:paraId="059BA687" w14:textId="77777777" w:rsidR="00FE48D0" w:rsidRPr="00AE5DF4" w:rsidRDefault="00FE48D0" w:rsidP="00505494">
            <w:pPr>
              <w:numPr>
                <w:ilvl w:val="0"/>
                <w:numId w:val="35"/>
              </w:numPr>
              <w:spacing w:line="256" w:lineRule="auto"/>
              <w:jc w:val="both"/>
              <w:rPr>
                <w:rFonts w:cs="Arial"/>
                <w:sz w:val="20"/>
                <w:szCs w:val="20"/>
              </w:rPr>
            </w:pPr>
            <w:r w:rsidRPr="00AE5DF4">
              <w:rPr>
                <w:rFonts w:cs="Arial"/>
                <w:sz w:val="20"/>
                <w:szCs w:val="20"/>
              </w:rPr>
              <w:t xml:space="preserve">Temporal applicability of a given multiplexing capability </w:t>
            </w:r>
          </w:p>
          <w:p w14:paraId="3F502BF6" w14:textId="77777777" w:rsidR="00FE48D0" w:rsidRPr="00AE5DF4" w:rsidRDefault="00FE48D0" w:rsidP="00505494">
            <w:pPr>
              <w:numPr>
                <w:ilvl w:val="0"/>
                <w:numId w:val="35"/>
              </w:numPr>
              <w:spacing w:line="256" w:lineRule="auto"/>
              <w:jc w:val="both"/>
              <w:rPr>
                <w:rFonts w:cs="Arial"/>
                <w:sz w:val="20"/>
                <w:szCs w:val="20"/>
              </w:rPr>
            </w:pPr>
            <w:r w:rsidRPr="00AE5DF4">
              <w:rPr>
                <w:rFonts w:cs="Arial"/>
                <w:sz w:val="20"/>
                <w:szCs w:val="20"/>
              </w:rPr>
              <w:t>Time/frequency resource restrictions (</w:t>
            </w:r>
            <w:proofErr w:type="gramStart"/>
            <w:r w:rsidRPr="00AE5DF4">
              <w:rPr>
                <w:rFonts w:cs="Arial"/>
                <w:sz w:val="20"/>
                <w:szCs w:val="20"/>
              </w:rPr>
              <w:t>e.g.</w:t>
            </w:r>
            <w:proofErr w:type="gramEnd"/>
            <w:r w:rsidRPr="00AE5DF4">
              <w:rPr>
                <w:rFonts w:cs="Arial"/>
                <w:sz w:val="20"/>
                <w:szCs w:val="20"/>
              </w:rPr>
              <w:t xml:space="preserve"> access vs. backhaul links, DL vs. UL resources)</w:t>
            </w:r>
          </w:p>
          <w:p w14:paraId="01B35F91" w14:textId="77777777" w:rsidR="00FE48D0" w:rsidRPr="00AE5DF4" w:rsidRDefault="00FE48D0" w:rsidP="00505494">
            <w:pPr>
              <w:numPr>
                <w:ilvl w:val="0"/>
                <w:numId w:val="35"/>
              </w:numPr>
              <w:spacing w:line="256" w:lineRule="auto"/>
              <w:jc w:val="both"/>
              <w:rPr>
                <w:rFonts w:cs="Arial"/>
                <w:sz w:val="20"/>
                <w:szCs w:val="20"/>
              </w:rPr>
            </w:pPr>
            <w:r w:rsidRPr="00AE5DF4">
              <w:rPr>
                <w:rFonts w:cs="Arial"/>
                <w:sz w:val="20"/>
                <w:szCs w:val="20"/>
              </w:rPr>
              <w:t>Indications of conditions/reporting information required to realize the given multiplexing capability, (</w:t>
            </w:r>
            <w:proofErr w:type="gramStart"/>
            <w:r w:rsidRPr="00AE5DF4">
              <w:rPr>
                <w:rFonts w:cs="Arial"/>
                <w:sz w:val="20"/>
                <w:szCs w:val="20"/>
              </w:rPr>
              <w:t>e.g.</w:t>
            </w:r>
            <w:proofErr w:type="gramEnd"/>
            <w:r w:rsidRPr="00AE5DF4">
              <w:rPr>
                <w:rFonts w:cs="Arial"/>
                <w:sz w:val="20"/>
                <w:szCs w:val="20"/>
              </w:rPr>
              <w:t xml:space="preserve"> timing mode, power control, guard symbols, etc.)</w:t>
            </w:r>
          </w:p>
          <w:p w14:paraId="5965F4BF" w14:textId="77777777" w:rsidR="00FE48D0" w:rsidRPr="00AE5DF4" w:rsidRDefault="00FE48D0" w:rsidP="00505494">
            <w:pPr>
              <w:pStyle w:val="ListParagraph"/>
              <w:ind w:left="0"/>
              <w:contextualSpacing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5DF4">
              <w:rPr>
                <w:rFonts w:ascii="Arial" w:hAnsi="Arial" w:cs="Arial"/>
                <w:sz w:val="20"/>
                <w:szCs w:val="20"/>
                <w:lang w:val="en-US"/>
              </w:rPr>
              <w:t>FFS: channels/signals used for indicating/reporting information</w:t>
            </w:r>
          </w:p>
          <w:p w14:paraId="376B30A3" w14:textId="77777777" w:rsidR="00FE48D0" w:rsidRPr="00AE5DF4" w:rsidRDefault="00FE48D0" w:rsidP="00505494">
            <w:pPr>
              <w:pStyle w:val="ListParagraph"/>
              <w:ind w:left="0"/>
              <w:contextualSpacing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635A140" w14:textId="77777777" w:rsidR="00FE48D0" w:rsidRPr="00AE5DF4" w:rsidRDefault="00FE48D0" w:rsidP="00505494">
            <w:pPr>
              <w:jc w:val="both"/>
              <w:rPr>
                <w:rFonts w:cs="Arial"/>
                <w:sz w:val="20"/>
                <w:szCs w:val="20"/>
              </w:rPr>
            </w:pPr>
            <w:r w:rsidRPr="00AE5DF4">
              <w:rPr>
                <w:rFonts w:cs="Arial"/>
                <w:b/>
                <w:bCs/>
                <w:sz w:val="20"/>
                <w:szCs w:val="20"/>
                <w:highlight w:val="green"/>
              </w:rPr>
              <w:t>Agreement</w:t>
            </w:r>
            <w:r w:rsidRPr="00AE5DF4">
              <w:rPr>
                <w:rFonts w:cs="Arial"/>
                <w:b/>
                <w:bCs/>
                <w:sz w:val="20"/>
                <w:szCs w:val="20"/>
              </w:rPr>
              <w:t xml:space="preserve"> (RAN1#105e)</w:t>
            </w:r>
          </w:p>
          <w:p w14:paraId="7277EB64" w14:textId="77777777" w:rsidR="00FE48D0" w:rsidRPr="00AE5DF4" w:rsidRDefault="00FE48D0" w:rsidP="00505494">
            <w:pPr>
              <w:jc w:val="both"/>
              <w:rPr>
                <w:rFonts w:cs="Arial"/>
                <w:sz w:val="20"/>
                <w:szCs w:val="20"/>
              </w:rPr>
            </w:pPr>
            <w:r w:rsidRPr="00AE5DF4">
              <w:rPr>
                <w:rFonts w:cs="Arial"/>
                <w:sz w:val="20"/>
                <w:szCs w:val="20"/>
              </w:rPr>
              <w:t>The parent IAB-node is dynamically provided with conditions/parameters to facilitate adaptation between multiplexing operation modes:</w:t>
            </w:r>
          </w:p>
          <w:p w14:paraId="7D8E3EAE" w14:textId="77777777" w:rsidR="00FE48D0" w:rsidRPr="00AE5DF4" w:rsidRDefault="00FE48D0" w:rsidP="00505494">
            <w:pPr>
              <w:numPr>
                <w:ilvl w:val="0"/>
                <w:numId w:val="36"/>
              </w:numPr>
              <w:spacing w:line="256" w:lineRule="auto"/>
              <w:jc w:val="both"/>
              <w:rPr>
                <w:rFonts w:cs="Arial"/>
                <w:sz w:val="20"/>
                <w:szCs w:val="20"/>
              </w:rPr>
            </w:pPr>
            <w:r w:rsidRPr="00AE5DF4">
              <w:rPr>
                <w:rFonts w:cs="Arial"/>
                <w:sz w:val="20"/>
                <w:szCs w:val="20"/>
              </w:rPr>
              <w:t>FFS: Required number of guard symbols for switching of multiplexing mode (FFS: per timing mode or per multiplexing mode) for IAB-DU</w:t>
            </w:r>
          </w:p>
          <w:p w14:paraId="55079404" w14:textId="77777777" w:rsidR="00FE48D0" w:rsidRPr="00AE5DF4" w:rsidRDefault="00FE48D0" w:rsidP="00505494">
            <w:pPr>
              <w:numPr>
                <w:ilvl w:val="0"/>
                <w:numId w:val="36"/>
              </w:numPr>
              <w:spacing w:line="256" w:lineRule="auto"/>
              <w:jc w:val="both"/>
              <w:rPr>
                <w:rFonts w:cs="Arial"/>
                <w:sz w:val="20"/>
                <w:szCs w:val="20"/>
              </w:rPr>
            </w:pPr>
            <w:r w:rsidRPr="00AE5DF4">
              <w:rPr>
                <w:rFonts w:cs="Arial"/>
                <w:sz w:val="20"/>
                <w:szCs w:val="20"/>
              </w:rPr>
              <w:t xml:space="preserve">FFS: </w:t>
            </w:r>
            <w:proofErr w:type="spellStart"/>
            <w:r w:rsidRPr="00AE5DF4">
              <w:rPr>
                <w:rFonts w:cs="Arial"/>
                <w:sz w:val="20"/>
                <w:szCs w:val="20"/>
              </w:rPr>
              <w:t>Signalling</w:t>
            </w:r>
            <w:proofErr w:type="spellEnd"/>
            <w:r w:rsidRPr="00AE5DF4">
              <w:rPr>
                <w:rFonts w:cs="Arial"/>
                <w:sz w:val="20"/>
                <w:szCs w:val="20"/>
              </w:rPr>
              <w:t xml:space="preserve"> procedure</w:t>
            </w:r>
          </w:p>
          <w:p w14:paraId="1EC65292" w14:textId="77777777" w:rsidR="00FE48D0" w:rsidRPr="00AE5DF4" w:rsidRDefault="00FE48D0" w:rsidP="00505494">
            <w:pPr>
              <w:numPr>
                <w:ilvl w:val="0"/>
                <w:numId w:val="36"/>
              </w:numPr>
              <w:spacing w:line="256" w:lineRule="auto"/>
              <w:jc w:val="both"/>
              <w:rPr>
                <w:rFonts w:cs="Arial"/>
                <w:sz w:val="20"/>
                <w:szCs w:val="20"/>
              </w:rPr>
            </w:pPr>
            <w:r w:rsidRPr="00AE5DF4">
              <w:rPr>
                <w:rFonts w:cs="Arial"/>
                <w:sz w:val="20"/>
                <w:szCs w:val="20"/>
              </w:rPr>
              <w:t>FFS: Required guard band for FDM</w:t>
            </w:r>
          </w:p>
          <w:p w14:paraId="395A5AD8" w14:textId="77777777" w:rsidR="00FE48D0" w:rsidRPr="00AE5DF4" w:rsidRDefault="00FE48D0" w:rsidP="00505494">
            <w:pPr>
              <w:numPr>
                <w:ilvl w:val="0"/>
                <w:numId w:val="36"/>
              </w:numPr>
              <w:spacing w:line="256" w:lineRule="auto"/>
              <w:jc w:val="both"/>
              <w:rPr>
                <w:rFonts w:cs="Arial"/>
                <w:sz w:val="20"/>
                <w:szCs w:val="20"/>
              </w:rPr>
            </w:pPr>
            <w:r w:rsidRPr="00AE5DF4">
              <w:rPr>
                <w:rFonts w:cs="Arial"/>
                <w:sz w:val="20"/>
                <w:szCs w:val="20"/>
              </w:rPr>
              <w:t xml:space="preserve">FFS: other conditions, </w:t>
            </w:r>
            <w:proofErr w:type="gramStart"/>
            <w:r w:rsidRPr="00AE5DF4">
              <w:rPr>
                <w:rFonts w:cs="Arial"/>
                <w:sz w:val="20"/>
                <w:szCs w:val="20"/>
              </w:rPr>
              <w:t>e.g.</w:t>
            </w:r>
            <w:proofErr w:type="gramEnd"/>
            <w:r w:rsidRPr="00AE5DF4">
              <w:rPr>
                <w:rFonts w:cs="Arial"/>
                <w:sz w:val="20"/>
                <w:szCs w:val="20"/>
              </w:rPr>
              <w:t xml:space="preserve"> required timing mode, required power control parameters, and preferred TCI.</w:t>
            </w:r>
          </w:p>
        </w:tc>
      </w:tr>
    </w:tbl>
    <w:p w14:paraId="1291F1E0" w14:textId="77777777" w:rsidR="00FE48D0" w:rsidRPr="00AE5DF4" w:rsidRDefault="00FE48D0" w:rsidP="00505494">
      <w:pPr>
        <w:jc w:val="both"/>
        <w:rPr>
          <w:lang w:eastAsia="ja-JP"/>
        </w:rPr>
      </w:pPr>
    </w:p>
    <w:p w14:paraId="46F96BBA" w14:textId="5676F284" w:rsidR="00491910" w:rsidRPr="00AE5DF4" w:rsidRDefault="00FE48D0" w:rsidP="00505494">
      <w:pPr>
        <w:jc w:val="both"/>
      </w:pPr>
      <w:r w:rsidRPr="00AE5DF4">
        <w:t xml:space="preserve">In case of simultaneous MT TX/DU TX, the IAB-node can report to the parent node about the multiplexing conditions on whether it requires 1) Case 6 timing, 2) Parent node indication of restricted IAB-DU beams, and 3) IAB-node indication to parent node to support its MT’s UL TX power control. Similarly, in case of simultaneous MT RX/DU RX, the IAB-node can report to the parent node about the multiplexing conditions on whether it requires or supports 1) Case 7 timing, </w:t>
      </w:r>
      <w:bookmarkStart w:id="5" w:name="_Hlk86913814"/>
      <w:bookmarkStart w:id="6" w:name="_Hlk86913886"/>
      <w:r w:rsidR="00B90A8E" w:rsidRPr="00AE5DF4">
        <w:t>2) parent node in Case 7 timing, 3</w:t>
      </w:r>
      <w:r w:rsidRPr="00AE5DF4">
        <w:t xml:space="preserve">) IAB-node indication of recommended IAB-MT beams to parent node, and </w:t>
      </w:r>
      <w:r w:rsidR="00B90A8E" w:rsidRPr="00AE5DF4">
        <w:t>4</w:t>
      </w:r>
      <w:r w:rsidRPr="00AE5DF4">
        <w:t>) IAB-node indication to support parent node DL power control.</w:t>
      </w:r>
      <w:bookmarkEnd w:id="5"/>
      <w:bookmarkEnd w:id="6"/>
    </w:p>
    <w:p w14:paraId="527520AB" w14:textId="77777777" w:rsidR="00A971F5" w:rsidRPr="00AE5DF4" w:rsidRDefault="00A971F5" w:rsidP="00505494">
      <w:pPr>
        <w:pStyle w:val="Proposal"/>
        <w:spacing w:after="0"/>
        <w:ind w:left="1304" w:hanging="1304"/>
      </w:pPr>
      <w:bookmarkStart w:id="7" w:name="_Toc85572109"/>
      <w:bookmarkStart w:id="8" w:name="_Toc87043445"/>
      <w:r w:rsidRPr="00AE5DF4">
        <w:t>The IAB-node may report to the parent node a set of multiplexing conditions on the required timing mode, power control, beam indication.</w:t>
      </w:r>
      <w:bookmarkEnd w:id="7"/>
      <w:bookmarkEnd w:id="8"/>
      <w:r w:rsidRPr="00AE5DF4">
        <w:t xml:space="preserve"> </w:t>
      </w:r>
    </w:p>
    <w:p w14:paraId="72732E30" w14:textId="77777777" w:rsidR="00A971F5" w:rsidRPr="00AE5DF4" w:rsidRDefault="00A971F5" w:rsidP="00505494">
      <w:pPr>
        <w:pStyle w:val="Proposal"/>
        <w:numPr>
          <w:ilvl w:val="0"/>
          <w:numId w:val="33"/>
        </w:numPr>
        <w:spacing w:before="240" w:after="0"/>
      </w:pPr>
      <w:bookmarkStart w:id="9" w:name="_Toc85572110"/>
      <w:bookmarkStart w:id="10" w:name="_Toc87043446"/>
      <w:r w:rsidRPr="00AE5DF4">
        <w:t>For simultaneous MT-TX/DU-TX, the multiplexing conditions include whether the IAB-node requires:</w:t>
      </w:r>
      <w:bookmarkEnd w:id="9"/>
      <w:bookmarkEnd w:id="10"/>
    </w:p>
    <w:p w14:paraId="47BFE11F" w14:textId="77777777" w:rsidR="00B90A8E" w:rsidRPr="00AE5DF4" w:rsidRDefault="00B90A8E" w:rsidP="00505494">
      <w:pPr>
        <w:pStyle w:val="Proposal"/>
        <w:numPr>
          <w:ilvl w:val="1"/>
          <w:numId w:val="33"/>
        </w:numPr>
        <w:spacing w:after="0"/>
      </w:pPr>
      <w:bookmarkStart w:id="11" w:name="_Toc86912246"/>
      <w:bookmarkStart w:id="12" w:name="_Toc85572114"/>
      <w:bookmarkStart w:id="13" w:name="_Toc87043447"/>
      <w:r w:rsidRPr="00AE5DF4">
        <w:t>Case-6 timing</w:t>
      </w:r>
      <w:bookmarkEnd w:id="11"/>
      <w:bookmarkEnd w:id="13"/>
    </w:p>
    <w:p w14:paraId="272C3B81" w14:textId="77777777" w:rsidR="00B90A8E" w:rsidRPr="00AE5DF4" w:rsidRDefault="00B90A8E" w:rsidP="00505494">
      <w:pPr>
        <w:pStyle w:val="Proposal"/>
        <w:numPr>
          <w:ilvl w:val="1"/>
          <w:numId w:val="33"/>
        </w:numPr>
        <w:spacing w:after="0"/>
      </w:pPr>
      <w:bookmarkStart w:id="14" w:name="_Toc86912247"/>
      <w:bookmarkStart w:id="15" w:name="_Toc87043448"/>
      <w:r w:rsidRPr="00AE5DF4">
        <w:t>Parent node indication of restricted IAB-DU beams</w:t>
      </w:r>
      <w:bookmarkEnd w:id="14"/>
      <w:bookmarkEnd w:id="15"/>
      <w:r w:rsidRPr="00AE5DF4">
        <w:t xml:space="preserve"> </w:t>
      </w:r>
    </w:p>
    <w:p w14:paraId="66F38426" w14:textId="221AA5B6" w:rsidR="00B90A8E" w:rsidRPr="00AE5DF4" w:rsidRDefault="00B90A8E" w:rsidP="00505494">
      <w:pPr>
        <w:pStyle w:val="Proposal"/>
        <w:numPr>
          <w:ilvl w:val="1"/>
          <w:numId w:val="33"/>
        </w:numPr>
        <w:spacing w:after="0"/>
      </w:pPr>
      <w:bookmarkStart w:id="16" w:name="_Toc86912248"/>
      <w:bookmarkStart w:id="17" w:name="_Toc87043449"/>
      <w:r w:rsidRPr="00AE5DF4">
        <w:t>IAB-node indication to its parent node on its MT’s minimum UL TX power level</w:t>
      </w:r>
      <w:bookmarkEnd w:id="16"/>
      <w:bookmarkEnd w:id="17"/>
    </w:p>
    <w:p w14:paraId="2721A02A" w14:textId="77777777" w:rsidR="00A971F5" w:rsidRPr="00AE5DF4" w:rsidRDefault="00A971F5" w:rsidP="00505494">
      <w:pPr>
        <w:pStyle w:val="Proposal"/>
        <w:numPr>
          <w:ilvl w:val="0"/>
          <w:numId w:val="33"/>
        </w:numPr>
        <w:spacing w:before="240" w:after="0"/>
      </w:pPr>
      <w:bookmarkStart w:id="18" w:name="_Toc87043450"/>
      <w:r w:rsidRPr="00AE5DF4">
        <w:t>For simultaneous MT RX/DU RX, the multiplexing conditions include whether the IAB-node:</w:t>
      </w:r>
      <w:bookmarkEnd w:id="12"/>
      <w:bookmarkEnd w:id="18"/>
    </w:p>
    <w:p w14:paraId="13AD2F0B" w14:textId="77777777" w:rsidR="00B90A8E" w:rsidRPr="00AE5DF4" w:rsidRDefault="00B90A8E" w:rsidP="00505494">
      <w:pPr>
        <w:pStyle w:val="Proposal"/>
        <w:numPr>
          <w:ilvl w:val="1"/>
          <w:numId w:val="33"/>
        </w:numPr>
        <w:spacing w:after="0"/>
      </w:pPr>
      <w:bookmarkStart w:id="19" w:name="_Toc86912250"/>
      <w:bookmarkStart w:id="20" w:name="_Toc87043451"/>
      <w:r w:rsidRPr="00AE5DF4">
        <w:t>Supports adjustment of child node UL TX timing in Case-7 timing</w:t>
      </w:r>
      <w:bookmarkEnd w:id="19"/>
      <w:bookmarkEnd w:id="20"/>
    </w:p>
    <w:p w14:paraId="60A27ADF" w14:textId="77777777" w:rsidR="00B90A8E" w:rsidRPr="00AE5DF4" w:rsidRDefault="00B90A8E" w:rsidP="00505494">
      <w:pPr>
        <w:pStyle w:val="Proposal"/>
        <w:numPr>
          <w:ilvl w:val="1"/>
          <w:numId w:val="33"/>
        </w:numPr>
        <w:spacing w:after="0"/>
      </w:pPr>
      <w:bookmarkStart w:id="21" w:name="_Toc86912251"/>
      <w:bookmarkStart w:id="22" w:name="_Toc87043452"/>
      <w:r w:rsidRPr="00AE5DF4">
        <w:t>Supports adjustment of UL TX timing for parent node in Case-7 timing</w:t>
      </w:r>
      <w:bookmarkEnd w:id="21"/>
      <w:bookmarkEnd w:id="22"/>
    </w:p>
    <w:p w14:paraId="32D91AF9" w14:textId="77777777" w:rsidR="00B90A8E" w:rsidRPr="00AE5DF4" w:rsidRDefault="00B90A8E" w:rsidP="00505494">
      <w:pPr>
        <w:pStyle w:val="Proposal"/>
        <w:numPr>
          <w:ilvl w:val="1"/>
          <w:numId w:val="33"/>
        </w:numPr>
        <w:spacing w:after="0"/>
      </w:pPr>
      <w:bookmarkStart w:id="23" w:name="_Toc86912252"/>
      <w:bookmarkStart w:id="24" w:name="_Toc87043453"/>
      <w:r w:rsidRPr="00AE5DF4">
        <w:t>Requires IAB-node indication of recommended IAB-MT beams</w:t>
      </w:r>
      <w:bookmarkEnd w:id="23"/>
      <w:bookmarkEnd w:id="24"/>
    </w:p>
    <w:p w14:paraId="7F50B96F" w14:textId="1716FFCA" w:rsidR="00480372" w:rsidRPr="00AE5DF4" w:rsidRDefault="00B90A8E" w:rsidP="004C0726">
      <w:pPr>
        <w:pStyle w:val="Proposal"/>
        <w:numPr>
          <w:ilvl w:val="1"/>
          <w:numId w:val="33"/>
        </w:numPr>
        <w:spacing w:after="0"/>
      </w:pPr>
      <w:bookmarkStart w:id="25" w:name="_Toc86912253"/>
      <w:bookmarkStart w:id="26" w:name="_Toc87043454"/>
      <w:r w:rsidRPr="00AE5DF4">
        <w:t>Requires IAB-node indication to support parent node maximum DL power level</w:t>
      </w:r>
      <w:bookmarkEnd w:id="25"/>
      <w:bookmarkEnd w:id="26"/>
    </w:p>
    <w:p w14:paraId="37EB5693" w14:textId="77777777" w:rsidR="00C01F33" w:rsidRPr="00AE5DF4" w:rsidRDefault="00C01F33" w:rsidP="00505494">
      <w:pPr>
        <w:pStyle w:val="Heading1"/>
        <w:jc w:val="both"/>
        <w:rPr>
          <w:lang w:val="en-US"/>
        </w:rPr>
      </w:pPr>
      <w:r w:rsidRPr="00AE5DF4">
        <w:rPr>
          <w:lang w:val="en-US"/>
        </w:rPr>
        <w:t>Conclusion</w:t>
      </w:r>
    </w:p>
    <w:p w14:paraId="6225A1B8" w14:textId="77777777" w:rsidR="006E1C82" w:rsidRPr="00AE5DF4" w:rsidRDefault="008E065E" w:rsidP="00505494">
      <w:pPr>
        <w:pStyle w:val="BodyText"/>
      </w:pPr>
      <w:r w:rsidRPr="00AE5DF4">
        <w:t xml:space="preserve">Based on the discussion in </w:t>
      </w:r>
      <w:r w:rsidR="007729A2" w:rsidRPr="00AE5DF4">
        <w:t xml:space="preserve">the previous </w:t>
      </w:r>
      <w:r w:rsidRPr="00AE5DF4">
        <w:t>section</w:t>
      </w:r>
      <w:r w:rsidR="007729A2" w:rsidRPr="00AE5DF4">
        <w:t>s</w:t>
      </w:r>
      <w:r w:rsidRPr="00AE5DF4">
        <w:t xml:space="preserve"> we propose the following:</w:t>
      </w:r>
    </w:p>
    <w:p w14:paraId="7001ECD3" w14:textId="6CCC0DF2" w:rsidR="005419EA" w:rsidRDefault="006E1C82" w:rsidP="005419EA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r w:rsidRPr="00AE5DF4">
        <w:rPr>
          <w:b w:val="0"/>
          <w:bCs/>
        </w:rPr>
        <w:fldChar w:fldCharType="begin"/>
      </w:r>
      <w:r w:rsidRPr="00AE5DF4">
        <w:rPr>
          <w:b w:val="0"/>
          <w:bCs/>
        </w:rPr>
        <w:instrText xml:space="preserve"> TOC \n \h \z \t "Proposal" \c </w:instrText>
      </w:r>
      <w:r w:rsidRPr="00AE5DF4">
        <w:rPr>
          <w:b w:val="0"/>
          <w:bCs/>
        </w:rPr>
        <w:fldChar w:fldCharType="separate"/>
      </w:r>
      <w:hyperlink w:anchor="_Toc87043444" w:history="1">
        <w:r w:rsidR="005419EA" w:rsidRPr="00831ACB">
          <w:rPr>
            <w:rStyle w:val="Hyperlink"/>
            <w:noProof/>
            <w:lang w:eastAsia="ja-JP"/>
          </w:rPr>
          <w:t>Proposal 1</w:t>
        </w:r>
        <w:r w:rsidR="005419EA"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="005419EA" w:rsidRPr="00831ACB">
          <w:rPr>
            <w:rStyle w:val="Hyperlink"/>
            <w:noProof/>
            <w:lang w:eastAsia="ja-JP"/>
          </w:rPr>
          <w:t>Extend the semi-static IAB node multiplexing capability to include FDM-required for multiplexing modes MT RX/DU RX and MT TX/DU TX. Adapt the following change to TS 38.473.</w:t>
        </w:r>
      </w:hyperlink>
    </w:p>
    <w:p w14:paraId="14E74CD9" w14:textId="10799E1A" w:rsidR="005419EA" w:rsidRDefault="005419EA" w:rsidP="005419EA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87043445" w:history="1">
        <w:r w:rsidRPr="00831ACB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831ACB">
          <w:rPr>
            <w:rStyle w:val="Hyperlink"/>
            <w:noProof/>
          </w:rPr>
          <w:t>The IAB-node may report to the parent node a set of multiplexing conditions on the required timing mode, power control, beam indication.</w:t>
        </w:r>
      </w:hyperlink>
    </w:p>
    <w:p w14:paraId="087BCD6B" w14:textId="007A85F7" w:rsidR="005419EA" w:rsidRDefault="005419EA" w:rsidP="005419EA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87043446" w:history="1">
        <w:r w:rsidRPr="00831ACB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831ACB">
          <w:rPr>
            <w:rStyle w:val="Hyperlink"/>
            <w:noProof/>
          </w:rPr>
          <w:t>For simultaneous MT-TX/DU-TX, the multiplexing conditions include whether the IAB-node requires:</w:t>
        </w:r>
      </w:hyperlink>
    </w:p>
    <w:p w14:paraId="10843846" w14:textId="6B307C41" w:rsidR="005419EA" w:rsidRDefault="005419EA" w:rsidP="005419EA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87043447" w:history="1">
        <w:r w:rsidRPr="00831ACB">
          <w:rPr>
            <w:rStyle w:val="Hyperlink"/>
            <w:rFonts w:ascii="Courier New" w:hAnsi="Courier New" w:cs="Courier New"/>
            <w:noProof/>
          </w:rPr>
          <w:t>o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831ACB">
          <w:rPr>
            <w:rStyle w:val="Hyperlink"/>
            <w:noProof/>
          </w:rPr>
          <w:t>Case-6 timing</w:t>
        </w:r>
      </w:hyperlink>
    </w:p>
    <w:p w14:paraId="3B6F83F6" w14:textId="49487DA0" w:rsidR="005419EA" w:rsidRDefault="005419EA" w:rsidP="005419EA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87043448" w:history="1">
        <w:r w:rsidRPr="00831ACB">
          <w:rPr>
            <w:rStyle w:val="Hyperlink"/>
            <w:rFonts w:ascii="Courier New" w:hAnsi="Courier New" w:cs="Courier New"/>
            <w:noProof/>
          </w:rPr>
          <w:t>o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831ACB">
          <w:rPr>
            <w:rStyle w:val="Hyperlink"/>
            <w:noProof/>
          </w:rPr>
          <w:t>Parent node indication of restricted IAB-DU beams</w:t>
        </w:r>
      </w:hyperlink>
    </w:p>
    <w:p w14:paraId="4026467D" w14:textId="3DA21DBA" w:rsidR="005419EA" w:rsidRDefault="005419EA" w:rsidP="005419EA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87043449" w:history="1">
        <w:r w:rsidRPr="00831ACB">
          <w:rPr>
            <w:rStyle w:val="Hyperlink"/>
            <w:rFonts w:ascii="Courier New" w:hAnsi="Courier New" w:cs="Courier New"/>
            <w:noProof/>
          </w:rPr>
          <w:t>o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831ACB">
          <w:rPr>
            <w:rStyle w:val="Hyperlink"/>
            <w:noProof/>
          </w:rPr>
          <w:t>IAB-node indication to its parent node on its MT’s minimum UL TX power level</w:t>
        </w:r>
      </w:hyperlink>
    </w:p>
    <w:p w14:paraId="176B0640" w14:textId="3846A7E4" w:rsidR="005419EA" w:rsidRDefault="005419EA" w:rsidP="005419EA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87043450" w:history="1">
        <w:r w:rsidRPr="00831ACB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831ACB">
          <w:rPr>
            <w:rStyle w:val="Hyperlink"/>
            <w:noProof/>
          </w:rPr>
          <w:t>For simultaneous MT RX/DU RX, the multiplexing conditions include whether the IAB-node:</w:t>
        </w:r>
      </w:hyperlink>
    </w:p>
    <w:p w14:paraId="7FDB7ABF" w14:textId="6574DD5D" w:rsidR="005419EA" w:rsidRDefault="005419EA" w:rsidP="005419EA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87043451" w:history="1">
        <w:r w:rsidRPr="00831ACB">
          <w:rPr>
            <w:rStyle w:val="Hyperlink"/>
            <w:rFonts w:ascii="Courier New" w:hAnsi="Courier New" w:cs="Courier New"/>
            <w:noProof/>
          </w:rPr>
          <w:t>o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831ACB">
          <w:rPr>
            <w:rStyle w:val="Hyperlink"/>
            <w:noProof/>
          </w:rPr>
          <w:t>Supports adjustment of child node UL TX timing in Case-7 timing</w:t>
        </w:r>
      </w:hyperlink>
    </w:p>
    <w:p w14:paraId="2200E5C1" w14:textId="42EABB6A" w:rsidR="005419EA" w:rsidRDefault="005419EA" w:rsidP="005419EA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87043452" w:history="1">
        <w:r w:rsidRPr="00831ACB">
          <w:rPr>
            <w:rStyle w:val="Hyperlink"/>
            <w:rFonts w:ascii="Courier New" w:hAnsi="Courier New" w:cs="Courier New"/>
            <w:noProof/>
          </w:rPr>
          <w:t>o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831ACB">
          <w:rPr>
            <w:rStyle w:val="Hyperlink"/>
            <w:noProof/>
          </w:rPr>
          <w:t>Supports adjustment of UL TX timing for parent node in Case-7 timing</w:t>
        </w:r>
      </w:hyperlink>
    </w:p>
    <w:p w14:paraId="177AD40A" w14:textId="143B8218" w:rsidR="005419EA" w:rsidRDefault="005419EA" w:rsidP="005419EA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87043453" w:history="1">
        <w:r w:rsidRPr="00831ACB">
          <w:rPr>
            <w:rStyle w:val="Hyperlink"/>
            <w:rFonts w:ascii="Courier New" w:hAnsi="Courier New" w:cs="Courier New"/>
            <w:noProof/>
          </w:rPr>
          <w:t>o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831ACB">
          <w:rPr>
            <w:rStyle w:val="Hyperlink"/>
            <w:noProof/>
          </w:rPr>
          <w:t>Requires IAB-node indication of recommended IAB-MT beams</w:t>
        </w:r>
      </w:hyperlink>
    </w:p>
    <w:p w14:paraId="5E253C94" w14:textId="2A71040C" w:rsidR="005419EA" w:rsidRDefault="005419EA" w:rsidP="005419EA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87043454" w:history="1">
        <w:r w:rsidRPr="00831ACB">
          <w:rPr>
            <w:rStyle w:val="Hyperlink"/>
            <w:rFonts w:ascii="Courier New" w:hAnsi="Courier New" w:cs="Courier New"/>
            <w:noProof/>
          </w:rPr>
          <w:t>o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831ACB">
          <w:rPr>
            <w:rStyle w:val="Hyperlink"/>
            <w:noProof/>
          </w:rPr>
          <w:t>Requires IAB-node indication to support parent node maximum DL power level</w:t>
        </w:r>
      </w:hyperlink>
    </w:p>
    <w:p w14:paraId="747C743C" w14:textId="5591D567" w:rsidR="006E1C82" w:rsidRPr="00AE5DF4" w:rsidRDefault="006E1C82" w:rsidP="00505494">
      <w:pPr>
        <w:pStyle w:val="BodyText"/>
        <w:rPr>
          <w:b/>
          <w:bCs/>
        </w:rPr>
      </w:pPr>
      <w:r w:rsidRPr="00AE5DF4">
        <w:rPr>
          <w:b/>
          <w:bCs/>
        </w:rPr>
        <w:fldChar w:fldCharType="end"/>
      </w:r>
    </w:p>
    <w:p w14:paraId="71D79D99" w14:textId="77777777" w:rsidR="00F507D1" w:rsidRPr="00AE5DF4" w:rsidRDefault="00F507D1" w:rsidP="00505494">
      <w:pPr>
        <w:pStyle w:val="Heading1"/>
        <w:jc w:val="both"/>
        <w:rPr>
          <w:lang w:val="en-US"/>
        </w:rPr>
      </w:pPr>
      <w:bookmarkStart w:id="27" w:name="_In-sequence_SDU_delivery"/>
      <w:bookmarkEnd w:id="27"/>
      <w:r w:rsidRPr="00AE5DF4">
        <w:rPr>
          <w:lang w:val="en-US"/>
        </w:rPr>
        <w:t>References</w:t>
      </w:r>
    </w:p>
    <w:p w14:paraId="40D0A8CB" w14:textId="77777777" w:rsidR="00CF537A" w:rsidRPr="00AE5DF4" w:rsidRDefault="00CF537A" w:rsidP="00505494">
      <w:pPr>
        <w:pStyle w:val="Reference"/>
      </w:pPr>
      <w:bookmarkStart w:id="28" w:name="_Ref85826876"/>
      <w:bookmarkStart w:id="29" w:name="_Ref77157032"/>
      <w:bookmarkStart w:id="30" w:name="_Ref83721434"/>
      <w:r w:rsidRPr="00AE5DF4">
        <w:t>R1-2110443, “Feature Lead Summary #2 of 8.10.1,” Moderator (AT&amp;T), RAN1 # 106bis-e, October 2021.</w:t>
      </w:r>
      <w:bookmarkEnd w:id="28"/>
    </w:p>
    <w:p w14:paraId="1C56964C" w14:textId="67150FD2" w:rsidR="00CF537A" w:rsidRPr="00AE5DF4" w:rsidRDefault="00CF537A" w:rsidP="00505494">
      <w:pPr>
        <w:pStyle w:val="Reference"/>
        <w:spacing w:after="160"/>
      </w:pPr>
      <w:bookmarkStart w:id="31" w:name="_Ref74586963"/>
      <w:r w:rsidRPr="00AE5DF4">
        <w:t>TS 38.473, “NG-RAN; F1 Application Protocol (F1AP)”, 3GPP, V16.6.0, July 2021.</w:t>
      </w:r>
      <w:bookmarkEnd w:id="31"/>
    </w:p>
    <w:bookmarkStart w:id="32" w:name="_Ref85827440"/>
    <w:p w14:paraId="4B98E817" w14:textId="663B4188" w:rsidR="00CF537A" w:rsidRPr="00AE5DF4" w:rsidRDefault="00CF537A" w:rsidP="00505494">
      <w:pPr>
        <w:pStyle w:val="Reference"/>
      </w:pPr>
      <w:r w:rsidRPr="00AE5DF4">
        <w:fldChar w:fldCharType="begin"/>
      </w:r>
      <w:r w:rsidRPr="00AE5DF4">
        <w:instrText xml:space="preserve"> HYPERLINK "https://www.3gpp.org/ftp/tsg_ran/WG1_RL1/TSGR1_105-e/Inbox/Chair_notes/Chair's%20Notes%20RAN1%23105-e%20final.zip" </w:instrText>
      </w:r>
      <w:r w:rsidRPr="00AE5DF4">
        <w:fldChar w:fldCharType="separate"/>
      </w:r>
      <w:r w:rsidRPr="00AE5DF4">
        <w:rPr>
          <w:rStyle w:val="Hyperlink"/>
        </w:rPr>
        <w:t>Chair’s Notes</w:t>
      </w:r>
      <w:r w:rsidRPr="00AE5DF4">
        <w:fldChar w:fldCharType="end"/>
      </w:r>
      <w:r w:rsidRPr="00AE5DF4">
        <w:t>, Qualcomm, RAN1 #10</w:t>
      </w:r>
      <w:r w:rsidR="00FE48D0" w:rsidRPr="00AE5DF4">
        <w:t>4</w:t>
      </w:r>
      <w:r w:rsidRPr="00AE5DF4">
        <w:t>-e, May 2021.</w:t>
      </w:r>
      <w:bookmarkEnd w:id="32"/>
    </w:p>
    <w:bookmarkStart w:id="33" w:name="_Ref85827451"/>
    <w:p w14:paraId="2E0CD6E3" w14:textId="31E0B653" w:rsidR="00CF537A" w:rsidRPr="00AE5DF4" w:rsidRDefault="00CF537A" w:rsidP="00505494">
      <w:pPr>
        <w:pStyle w:val="Reference"/>
      </w:pPr>
      <w:r w:rsidRPr="00AE5DF4">
        <w:fldChar w:fldCharType="begin"/>
      </w:r>
      <w:r w:rsidRPr="00AE5DF4">
        <w:instrText xml:space="preserve"> HYPERLINK "https://www.3gpp.org/ftp/tsg_ran/WG1_RL1/TSGR1_105-e/Inbox/Chair_notes/Chair's%20Notes%20RAN1%23105-e%20final.zip" </w:instrText>
      </w:r>
      <w:r w:rsidRPr="00AE5DF4">
        <w:fldChar w:fldCharType="separate"/>
      </w:r>
      <w:r w:rsidRPr="00AE5DF4">
        <w:rPr>
          <w:rStyle w:val="Hyperlink"/>
        </w:rPr>
        <w:t>Chair’s Notes</w:t>
      </w:r>
      <w:r w:rsidRPr="00AE5DF4">
        <w:fldChar w:fldCharType="end"/>
      </w:r>
      <w:r w:rsidRPr="00AE5DF4">
        <w:t>, Qualcomm, RAN1 #105-e, May 2021.</w:t>
      </w:r>
      <w:bookmarkEnd w:id="33"/>
    </w:p>
    <w:bookmarkEnd w:id="29"/>
    <w:p w14:paraId="715CA09B" w14:textId="7BF52A8C" w:rsidR="003A7EF3" w:rsidRPr="00AE5DF4" w:rsidRDefault="00F13270" w:rsidP="00505494">
      <w:pPr>
        <w:pStyle w:val="Reference"/>
      </w:pPr>
      <w:r w:rsidRPr="00AE5DF4">
        <w:t>R1-2109916, “Summary of UE features for IAB enhancements,” Moderators (AT&amp;T, NTT DOCOMO), RAN1 #106bis-e, October 2021.</w:t>
      </w:r>
      <w:bookmarkEnd w:id="30"/>
    </w:p>
    <w:p w14:paraId="552904B8" w14:textId="5BD8CD7B" w:rsidR="00535A15" w:rsidRPr="00AE5DF4" w:rsidRDefault="00535A15" w:rsidP="00505494">
      <w:pPr>
        <w:pStyle w:val="Reference"/>
      </w:pPr>
      <w:r w:rsidRPr="00AE5DF4">
        <w:t>R1-211058</w:t>
      </w:r>
      <w:r w:rsidR="009B6DE6" w:rsidRPr="00AE5DF4">
        <w:t>7</w:t>
      </w:r>
      <w:r w:rsidRPr="00AE5DF4">
        <w:t>, “Updated RAN1 UE features list for Rel-17 LTE after RAN1 #106bis-e,” Moderators (AT&amp;T, NTT DOCOMO, INC.), RAN1 #106bis-e, October 2021.</w:t>
      </w:r>
    </w:p>
    <w:p w14:paraId="076E2C6E" w14:textId="77777777" w:rsidR="00383D3B" w:rsidRPr="00AE5DF4" w:rsidRDefault="00383D3B" w:rsidP="00505494">
      <w:pPr>
        <w:pStyle w:val="Reference"/>
        <w:numPr>
          <w:ilvl w:val="0"/>
          <w:numId w:val="0"/>
        </w:numPr>
      </w:pPr>
    </w:p>
    <w:sectPr w:rsidR="00383D3B" w:rsidRPr="00AE5DF4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C94518" w14:textId="77777777" w:rsidR="00F61186" w:rsidRDefault="00F61186">
      <w:r>
        <w:separator/>
      </w:r>
    </w:p>
  </w:endnote>
  <w:endnote w:type="continuationSeparator" w:id="0">
    <w:p w14:paraId="034FFC0F" w14:textId="77777777" w:rsidR="00F61186" w:rsidRDefault="00F61186">
      <w:r>
        <w:continuationSeparator/>
      </w:r>
    </w:p>
  </w:endnote>
  <w:endnote w:type="continuationNotice" w:id="1">
    <w:p w14:paraId="52A258ED" w14:textId="77777777" w:rsidR="00F61186" w:rsidRDefault="00F611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E3324" w14:textId="77777777" w:rsidR="00F61186" w:rsidRDefault="00F6118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D65096" w14:textId="77777777" w:rsidR="00F61186" w:rsidRDefault="00F61186">
      <w:r>
        <w:separator/>
      </w:r>
    </w:p>
  </w:footnote>
  <w:footnote w:type="continuationSeparator" w:id="0">
    <w:p w14:paraId="3FCE26D6" w14:textId="77777777" w:rsidR="00F61186" w:rsidRDefault="00F61186">
      <w:r>
        <w:continuationSeparator/>
      </w:r>
    </w:p>
  </w:footnote>
  <w:footnote w:type="continuationNotice" w:id="1">
    <w:p w14:paraId="48912E33" w14:textId="77777777" w:rsidR="00F61186" w:rsidRDefault="00F6118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CAA3A" w14:textId="77777777" w:rsidR="00F61186" w:rsidRDefault="00F6118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3FF5FFB"/>
    <w:multiLevelType w:val="hybridMultilevel"/>
    <w:tmpl w:val="EB68A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2556C"/>
    <w:multiLevelType w:val="hybridMultilevel"/>
    <w:tmpl w:val="C84A62EE"/>
    <w:lvl w:ilvl="0" w:tplc="EFA4EBE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66A3E5C"/>
    <w:multiLevelType w:val="hybridMultilevel"/>
    <w:tmpl w:val="81D66DD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0C7CA7"/>
    <w:multiLevelType w:val="hybridMultilevel"/>
    <w:tmpl w:val="AFE6B1E8"/>
    <w:lvl w:ilvl="0" w:tplc="90ACBA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5C41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D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D437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D224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83AEE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4CDC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4614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5836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9EB3108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086212B"/>
    <w:multiLevelType w:val="hybridMultilevel"/>
    <w:tmpl w:val="494C416A"/>
    <w:lvl w:ilvl="0" w:tplc="0110FC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687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EC15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9E2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64E0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8A3C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24A9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3AA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0F1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691810"/>
    <w:multiLevelType w:val="hybridMultilevel"/>
    <w:tmpl w:val="B2D054EA"/>
    <w:lvl w:ilvl="0" w:tplc="041D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25" w15:restartNumberingAfterBreak="0">
    <w:nsid w:val="4E89306B"/>
    <w:multiLevelType w:val="hybridMultilevel"/>
    <w:tmpl w:val="5DB679BE"/>
    <w:lvl w:ilvl="0" w:tplc="041D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426F26"/>
    <w:multiLevelType w:val="multilevel"/>
    <w:tmpl w:val="C61CB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A870EBA"/>
    <w:multiLevelType w:val="multilevel"/>
    <w:tmpl w:val="6A870E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D37F66"/>
    <w:multiLevelType w:val="multilevel"/>
    <w:tmpl w:val="6DD37F66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7"/>
  </w:num>
  <w:num w:numId="4">
    <w:abstractNumId w:val="18"/>
  </w:num>
  <w:num w:numId="5">
    <w:abstractNumId w:val="10"/>
  </w:num>
  <w:num w:numId="6">
    <w:abstractNumId w:val="21"/>
  </w:num>
  <w:num w:numId="7">
    <w:abstractNumId w:val="28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19"/>
  </w:num>
  <w:num w:numId="16">
    <w:abstractNumId w:val="29"/>
  </w:num>
  <w:num w:numId="17">
    <w:abstractNumId w:val="7"/>
  </w:num>
  <w:num w:numId="18">
    <w:abstractNumId w:val="8"/>
  </w:num>
  <w:num w:numId="19">
    <w:abstractNumId w:val="5"/>
  </w:num>
  <w:num w:numId="20">
    <w:abstractNumId w:val="34"/>
  </w:num>
  <w:num w:numId="21">
    <w:abstractNumId w:val="13"/>
  </w:num>
  <w:num w:numId="22">
    <w:abstractNumId w:val="33"/>
  </w:num>
  <w:num w:numId="23">
    <w:abstractNumId w:val="16"/>
  </w:num>
  <w:num w:numId="24">
    <w:abstractNumId w:val="30"/>
  </w:num>
  <w:num w:numId="25">
    <w:abstractNumId w:val="14"/>
  </w:num>
  <w:num w:numId="26">
    <w:abstractNumId w:val="32"/>
  </w:num>
  <w:num w:numId="27">
    <w:abstractNumId w:val="32"/>
  </w:num>
  <w:num w:numId="28">
    <w:abstractNumId w:val="22"/>
  </w:num>
  <w:num w:numId="29">
    <w:abstractNumId w:val="6"/>
  </w:num>
  <w:num w:numId="30">
    <w:abstractNumId w:val="25"/>
  </w:num>
  <w:num w:numId="31">
    <w:abstractNumId w:val="15"/>
  </w:num>
  <w:num w:numId="32">
    <w:abstractNumId w:val="4"/>
  </w:num>
  <w:num w:numId="33">
    <w:abstractNumId w:val="24"/>
  </w:num>
  <w:num w:numId="34">
    <w:abstractNumId w:val="31"/>
  </w:num>
  <w:num w:numId="35">
    <w:abstractNumId w:val="12"/>
  </w:num>
  <w:num w:numId="36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3DB2"/>
    <w:rsid w:val="00024F53"/>
    <w:rsid w:val="0002564D"/>
    <w:rsid w:val="00025ECA"/>
    <w:rsid w:val="000325B8"/>
    <w:rsid w:val="00034C15"/>
    <w:rsid w:val="00036BA1"/>
    <w:rsid w:val="000422E2"/>
    <w:rsid w:val="00042F22"/>
    <w:rsid w:val="00043B69"/>
    <w:rsid w:val="000444EF"/>
    <w:rsid w:val="00052A07"/>
    <w:rsid w:val="000534E3"/>
    <w:rsid w:val="0005606A"/>
    <w:rsid w:val="00057117"/>
    <w:rsid w:val="000616E7"/>
    <w:rsid w:val="0006487E"/>
    <w:rsid w:val="00065E1A"/>
    <w:rsid w:val="00067C67"/>
    <w:rsid w:val="00077E5F"/>
    <w:rsid w:val="0008036A"/>
    <w:rsid w:val="00081AE6"/>
    <w:rsid w:val="0008482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034"/>
    <w:rsid w:val="001062FB"/>
    <w:rsid w:val="001063E6"/>
    <w:rsid w:val="00111DE3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2CC"/>
    <w:rsid w:val="00137AB5"/>
    <w:rsid w:val="00137F0B"/>
    <w:rsid w:val="00151E23"/>
    <w:rsid w:val="001526E0"/>
    <w:rsid w:val="00153ED7"/>
    <w:rsid w:val="001551B5"/>
    <w:rsid w:val="00164EF2"/>
    <w:rsid w:val="001659C1"/>
    <w:rsid w:val="00165C06"/>
    <w:rsid w:val="00170A73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2E7C"/>
    <w:rsid w:val="001A6173"/>
    <w:rsid w:val="001A6CBA"/>
    <w:rsid w:val="001B0D97"/>
    <w:rsid w:val="001B5A5D"/>
    <w:rsid w:val="001C1CE5"/>
    <w:rsid w:val="001C3D2A"/>
    <w:rsid w:val="001C63E7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5935"/>
    <w:rsid w:val="00220600"/>
    <w:rsid w:val="002224DB"/>
    <w:rsid w:val="00223FCB"/>
    <w:rsid w:val="002252C3"/>
    <w:rsid w:val="00225C54"/>
    <w:rsid w:val="00230765"/>
    <w:rsid w:val="00230D18"/>
    <w:rsid w:val="002319E4"/>
    <w:rsid w:val="00234A4B"/>
    <w:rsid w:val="00235632"/>
    <w:rsid w:val="00235872"/>
    <w:rsid w:val="00241559"/>
    <w:rsid w:val="002435B3"/>
    <w:rsid w:val="002458EB"/>
    <w:rsid w:val="00246009"/>
    <w:rsid w:val="002500C8"/>
    <w:rsid w:val="00251FC9"/>
    <w:rsid w:val="00257543"/>
    <w:rsid w:val="00260500"/>
    <w:rsid w:val="002617E7"/>
    <w:rsid w:val="00264228"/>
    <w:rsid w:val="00264334"/>
    <w:rsid w:val="0026473E"/>
    <w:rsid w:val="00265521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B40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1D94"/>
    <w:rsid w:val="0030256B"/>
    <w:rsid w:val="00304179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63AE"/>
    <w:rsid w:val="00357380"/>
    <w:rsid w:val="003602D9"/>
    <w:rsid w:val="003604CE"/>
    <w:rsid w:val="00360FB9"/>
    <w:rsid w:val="00363168"/>
    <w:rsid w:val="00370E47"/>
    <w:rsid w:val="003742AC"/>
    <w:rsid w:val="00377CE1"/>
    <w:rsid w:val="00383D3B"/>
    <w:rsid w:val="00385BF0"/>
    <w:rsid w:val="003939FF"/>
    <w:rsid w:val="003964E5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39B1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80372"/>
    <w:rsid w:val="00491910"/>
    <w:rsid w:val="00492BC5"/>
    <w:rsid w:val="00492EAE"/>
    <w:rsid w:val="0049517F"/>
    <w:rsid w:val="004964F1"/>
    <w:rsid w:val="004A16BC"/>
    <w:rsid w:val="004A2B94"/>
    <w:rsid w:val="004A2DC5"/>
    <w:rsid w:val="004B6F6A"/>
    <w:rsid w:val="004B7C0C"/>
    <w:rsid w:val="004C0726"/>
    <w:rsid w:val="004C3898"/>
    <w:rsid w:val="004D36B1"/>
    <w:rsid w:val="004D7EBD"/>
    <w:rsid w:val="004E2680"/>
    <w:rsid w:val="004E28F9"/>
    <w:rsid w:val="004E462E"/>
    <w:rsid w:val="004E56DC"/>
    <w:rsid w:val="004E5B2D"/>
    <w:rsid w:val="004E76F4"/>
    <w:rsid w:val="004F0B4E"/>
    <w:rsid w:val="004F0B6C"/>
    <w:rsid w:val="004F2078"/>
    <w:rsid w:val="004F4DA3"/>
    <w:rsid w:val="00505494"/>
    <w:rsid w:val="00506557"/>
    <w:rsid w:val="0050677A"/>
    <w:rsid w:val="005108D8"/>
    <w:rsid w:val="005116F9"/>
    <w:rsid w:val="005153A7"/>
    <w:rsid w:val="005219CF"/>
    <w:rsid w:val="0052435B"/>
    <w:rsid w:val="00534B59"/>
    <w:rsid w:val="00535A15"/>
    <w:rsid w:val="00536759"/>
    <w:rsid w:val="00537C62"/>
    <w:rsid w:val="005419EA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B7A8E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333F"/>
    <w:rsid w:val="00604F14"/>
    <w:rsid w:val="00611B83"/>
    <w:rsid w:val="00613257"/>
    <w:rsid w:val="00620A71"/>
    <w:rsid w:val="00620D80"/>
    <w:rsid w:val="006234A6"/>
    <w:rsid w:val="00630001"/>
    <w:rsid w:val="006303C0"/>
    <w:rsid w:val="006311B3"/>
    <w:rsid w:val="0063284C"/>
    <w:rsid w:val="00636398"/>
    <w:rsid w:val="006368D3"/>
    <w:rsid w:val="00636B2C"/>
    <w:rsid w:val="006377EC"/>
    <w:rsid w:val="0064151F"/>
    <w:rsid w:val="00641533"/>
    <w:rsid w:val="0064208D"/>
    <w:rsid w:val="0064211F"/>
    <w:rsid w:val="00643475"/>
    <w:rsid w:val="0064396A"/>
    <w:rsid w:val="0064624E"/>
    <w:rsid w:val="00646E7A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8AC"/>
    <w:rsid w:val="006655EE"/>
    <w:rsid w:val="00667EE7"/>
    <w:rsid w:val="00670922"/>
    <w:rsid w:val="00670BE1"/>
    <w:rsid w:val="0067218F"/>
    <w:rsid w:val="006741F2"/>
    <w:rsid w:val="00674CC3"/>
    <w:rsid w:val="00675C72"/>
    <w:rsid w:val="00676EBD"/>
    <w:rsid w:val="006771F9"/>
    <w:rsid w:val="006776D7"/>
    <w:rsid w:val="00681003"/>
    <w:rsid w:val="006817C9"/>
    <w:rsid w:val="00681CC2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CEB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5956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A9A"/>
    <w:rsid w:val="00795C92"/>
    <w:rsid w:val="00796231"/>
    <w:rsid w:val="007A1CB3"/>
    <w:rsid w:val="007A306F"/>
    <w:rsid w:val="007A43A6"/>
    <w:rsid w:val="007A44B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26E2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37A7"/>
    <w:rsid w:val="008158D6"/>
    <w:rsid w:val="00817196"/>
    <w:rsid w:val="008172A9"/>
    <w:rsid w:val="008235DB"/>
    <w:rsid w:val="00824AB4"/>
    <w:rsid w:val="00825C42"/>
    <w:rsid w:val="00825D25"/>
    <w:rsid w:val="00827D6F"/>
    <w:rsid w:val="00836EC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2BBF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26C27"/>
    <w:rsid w:val="00931A88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05CB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6DE6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56B6"/>
    <w:rsid w:val="00A264A9"/>
    <w:rsid w:val="00A26DCF"/>
    <w:rsid w:val="00A27785"/>
    <w:rsid w:val="00A30187"/>
    <w:rsid w:val="00A31F58"/>
    <w:rsid w:val="00A3448A"/>
    <w:rsid w:val="00A36297"/>
    <w:rsid w:val="00A41053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2F92"/>
    <w:rsid w:val="00A9442A"/>
    <w:rsid w:val="00A971F5"/>
    <w:rsid w:val="00AA016F"/>
    <w:rsid w:val="00AA1ED6"/>
    <w:rsid w:val="00AA51D6"/>
    <w:rsid w:val="00AB044C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E5DF4"/>
    <w:rsid w:val="00AF1C5D"/>
    <w:rsid w:val="00AF42D7"/>
    <w:rsid w:val="00B00616"/>
    <w:rsid w:val="00B006FE"/>
    <w:rsid w:val="00B007CB"/>
    <w:rsid w:val="00B01C61"/>
    <w:rsid w:val="00B02AA9"/>
    <w:rsid w:val="00B02FA3"/>
    <w:rsid w:val="00B05084"/>
    <w:rsid w:val="00B06EDD"/>
    <w:rsid w:val="00B075BB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46EA0"/>
    <w:rsid w:val="00B5063C"/>
    <w:rsid w:val="00B548B7"/>
    <w:rsid w:val="00B55995"/>
    <w:rsid w:val="00B664C7"/>
    <w:rsid w:val="00B713D8"/>
    <w:rsid w:val="00B739F6"/>
    <w:rsid w:val="00B81A6C"/>
    <w:rsid w:val="00B85DE5"/>
    <w:rsid w:val="00B90A8E"/>
    <w:rsid w:val="00B90F73"/>
    <w:rsid w:val="00B93B59"/>
    <w:rsid w:val="00B9406A"/>
    <w:rsid w:val="00B94F9E"/>
    <w:rsid w:val="00BA2280"/>
    <w:rsid w:val="00BA2A08"/>
    <w:rsid w:val="00BA56D2"/>
    <w:rsid w:val="00BA76E0"/>
    <w:rsid w:val="00BB0254"/>
    <w:rsid w:val="00BB2A25"/>
    <w:rsid w:val="00BB51E9"/>
    <w:rsid w:val="00BC0FDC"/>
    <w:rsid w:val="00BC3053"/>
    <w:rsid w:val="00BC4D2E"/>
    <w:rsid w:val="00BC7C6D"/>
    <w:rsid w:val="00BD48AC"/>
    <w:rsid w:val="00BD5F1A"/>
    <w:rsid w:val="00BE1234"/>
    <w:rsid w:val="00BE24D7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1792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3B0B"/>
    <w:rsid w:val="00CA6D7E"/>
    <w:rsid w:val="00CB1F63"/>
    <w:rsid w:val="00CB7170"/>
    <w:rsid w:val="00CC040E"/>
    <w:rsid w:val="00CC111F"/>
    <w:rsid w:val="00CC2011"/>
    <w:rsid w:val="00CC3EA0"/>
    <w:rsid w:val="00CC7B45"/>
    <w:rsid w:val="00CC7BE5"/>
    <w:rsid w:val="00CD1188"/>
    <w:rsid w:val="00CD2ED1"/>
    <w:rsid w:val="00CD337B"/>
    <w:rsid w:val="00CE0424"/>
    <w:rsid w:val="00CE7561"/>
    <w:rsid w:val="00CF1354"/>
    <w:rsid w:val="00CF3B1F"/>
    <w:rsid w:val="00CF3BF6"/>
    <w:rsid w:val="00CF537A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1D5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44BA"/>
    <w:rsid w:val="00D652B5"/>
    <w:rsid w:val="00D66155"/>
    <w:rsid w:val="00D66AD1"/>
    <w:rsid w:val="00D708B0"/>
    <w:rsid w:val="00D74665"/>
    <w:rsid w:val="00D77B1D"/>
    <w:rsid w:val="00D8021F"/>
    <w:rsid w:val="00D80282"/>
    <w:rsid w:val="00D80383"/>
    <w:rsid w:val="00D823C6"/>
    <w:rsid w:val="00D8327F"/>
    <w:rsid w:val="00D83479"/>
    <w:rsid w:val="00D85943"/>
    <w:rsid w:val="00D86CA3"/>
    <w:rsid w:val="00D871CE"/>
    <w:rsid w:val="00D915F8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2712"/>
    <w:rsid w:val="00DD4C13"/>
    <w:rsid w:val="00DE5608"/>
    <w:rsid w:val="00DE58D0"/>
    <w:rsid w:val="00DE654F"/>
    <w:rsid w:val="00DF0B6E"/>
    <w:rsid w:val="00DF15E0"/>
    <w:rsid w:val="00DF37A0"/>
    <w:rsid w:val="00E05762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584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016"/>
    <w:rsid w:val="00EA7A41"/>
    <w:rsid w:val="00EB077B"/>
    <w:rsid w:val="00EB4EA2"/>
    <w:rsid w:val="00EC24D5"/>
    <w:rsid w:val="00EC27C6"/>
    <w:rsid w:val="00EC4207"/>
    <w:rsid w:val="00EC5653"/>
    <w:rsid w:val="00EC68E7"/>
    <w:rsid w:val="00EC71CE"/>
    <w:rsid w:val="00ED1006"/>
    <w:rsid w:val="00EE5B62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270"/>
    <w:rsid w:val="00F15FA5"/>
    <w:rsid w:val="00F209B7"/>
    <w:rsid w:val="00F2376F"/>
    <w:rsid w:val="00F243D8"/>
    <w:rsid w:val="00F30828"/>
    <w:rsid w:val="00F313D6"/>
    <w:rsid w:val="00F40F0C"/>
    <w:rsid w:val="00F4458E"/>
    <w:rsid w:val="00F4682B"/>
    <w:rsid w:val="00F4766C"/>
    <w:rsid w:val="00F5060E"/>
    <w:rsid w:val="00F507D1"/>
    <w:rsid w:val="00F519CE"/>
    <w:rsid w:val="00F51ADA"/>
    <w:rsid w:val="00F60203"/>
    <w:rsid w:val="00F607C5"/>
    <w:rsid w:val="00F60DEA"/>
    <w:rsid w:val="00F61186"/>
    <w:rsid w:val="00F6302A"/>
    <w:rsid w:val="00F63950"/>
    <w:rsid w:val="00F64C2B"/>
    <w:rsid w:val="00F651BE"/>
    <w:rsid w:val="00F67F53"/>
    <w:rsid w:val="00F703BE"/>
    <w:rsid w:val="00F71739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02C"/>
    <w:rsid w:val="00F868F5"/>
    <w:rsid w:val="00F9056A"/>
    <w:rsid w:val="00F90F8D"/>
    <w:rsid w:val="00F92782"/>
    <w:rsid w:val="00F93AA9"/>
    <w:rsid w:val="00F96985"/>
    <w:rsid w:val="00F97838"/>
    <w:rsid w:val="00FA2BB3"/>
    <w:rsid w:val="00FB2DBA"/>
    <w:rsid w:val="00FB4C80"/>
    <w:rsid w:val="00FB5BB1"/>
    <w:rsid w:val="00FB6A6A"/>
    <w:rsid w:val="00FC7429"/>
    <w:rsid w:val="00FD07F6"/>
    <w:rsid w:val="00FD1EC8"/>
    <w:rsid w:val="00FD47ED"/>
    <w:rsid w:val="00FD74DB"/>
    <w:rsid w:val="00FD7660"/>
    <w:rsid w:val="00FE0655"/>
    <w:rsid w:val="00FE1063"/>
    <w:rsid w:val="00FE2365"/>
    <w:rsid w:val="00FE37D7"/>
    <w:rsid w:val="00FE48D0"/>
    <w:rsid w:val="00FE4C7B"/>
    <w:rsid w:val="00FE5A61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A41053"/>
    <w:rPr>
      <w:color w:val="605E5C"/>
      <w:shd w:val="clear" w:color="auto" w:fill="E1DFDD"/>
    </w:rPr>
  </w:style>
  <w:style w:type="character" w:customStyle="1" w:styleId="ReferenceChar">
    <w:name w:val="Reference Char"/>
    <w:link w:val="Reference"/>
    <w:rsid w:val="00926C27"/>
    <w:rPr>
      <w:rFonts w:ascii="Arial" w:eastAsiaTheme="minorHAnsi" w:hAnsi="Arial" w:cstheme="minorBidi"/>
      <w:szCs w:val="22"/>
      <w:lang w:val="en-US" w:eastAsia="zh-CN"/>
    </w:rPr>
  </w:style>
  <w:style w:type="character" w:customStyle="1" w:styleId="TALChar">
    <w:name w:val="TAL Char"/>
    <w:qFormat/>
    <w:rsid w:val="00F13270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F13270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35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EBB07-0E82-44D0-A2D5-ED7C3CA2D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1234</Words>
  <Characters>7946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2021-11-05T21:17:00Z</dcterms:created>
  <dcterms:modified xsi:type="dcterms:W3CDTF">2021-11-05T21:24:00Z</dcterms:modified>
  <cp:category/>
</cp:coreProperties>
</file>